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cs="Arial"/>
          <w:b/>
          <w:sz w:val="22"/>
          <w:szCs w:val="22"/>
          <w:lang w:val="en-US" w:eastAsia="zh-CN"/>
        </w:rPr>
      </w:pPr>
      <w:r>
        <w:rPr>
          <w:rFonts w:cs="Arial"/>
          <w:b/>
          <w:sz w:val="22"/>
          <w:szCs w:val="22"/>
          <w:lang w:val="en-US" w:eastAsia="zh-CN"/>
        </w:rPr>
        <w:t>3GPP TSG-RAN WG3 Meeting #119</w:t>
      </w:r>
      <w:r>
        <w:rPr>
          <w:rFonts w:hint="default" w:cs="Arial"/>
          <w:b/>
          <w:sz w:val="22"/>
          <w:szCs w:val="22"/>
          <w:lang w:val="en-US" w:eastAsia="zh-CN"/>
        </w:rPr>
        <w:t>bis-e</w:t>
      </w:r>
      <w:r>
        <w:rPr>
          <w:rFonts w:cs="Arial"/>
          <w:b/>
          <w:sz w:val="22"/>
          <w:szCs w:val="22"/>
        </w:rPr>
        <w:tab/>
      </w:r>
      <w:r>
        <w:rPr>
          <w:rFonts w:hint="eastAsia" w:cs="Arial"/>
          <w:b/>
          <w:sz w:val="22"/>
          <w:szCs w:val="22"/>
        </w:rPr>
        <w:t>R3-231790</w:t>
      </w:r>
      <w:bookmarkStart w:id="14" w:name="_GoBack"/>
      <w:bookmarkEnd w:id="14"/>
    </w:p>
    <w:p>
      <w:pPr>
        <w:pStyle w:val="177"/>
        <w:spacing w:after="120" w:afterLines="50" w:line="240" w:lineRule="auto"/>
        <w:rPr>
          <w:rFonts w:ascii="Arial" w:hAnsi="Arial" w:cs="Arial"/>
          <w:bCs/>
          <w:sz w:val="22"/>
          <w:szCs w:val="22"/>
          <w:lang w:eastAsia="zh-CN"/>
        </w:rPr>
      </w:pPr>
      <w:bookmarkStart w:id="0" w:name="OLE_LINK6"/>
      <w:r>
        <w:rPr>
          <w:rFonts w:hint="eastAsia" w:ascii="Arial" w:hAnsi="Arial" w:cs="Arial"/>
          <w:bCs/>
          <w:sz w:val="22"/>
          <w:szCs w:val="22"/>
          <w:lang w:val="en-US" w:eastAsia="zh-CN"/>
        </w:rPr>
        <w:t>Online</w:t>
      </w:r>
      <w:r>
        <w:rPr>
          <w:rFonts w:ascii="Arial" w:hAnsi="Arial" w:cs="Arial"/>
          <w:bCs/>
          <w:sz w:val="22"/>
          <w:szCs w:val="22"/>
          <w:lang w:val="en-US" w:eastAsia="zh-CN"/>
        </w:rPr>
        <w:t>,</w:t>
      </w:r>
      <w:r>
        <w:rPr>
          <w:rFonts w:ascii="Arial" w:hAnsi="Arial" w:cs="Arial"/>
          <w:bCs/>
          <w:sz w:val="22"/>
          <w:szCs w:val="22"/>
          <w:lang w:eastAsia="zh-CN"/>
        </w:rPr>
        <w:t xml:space="preserve"> </w:t>
      </w:r>
      <w:r>
        <w:rPr>
          <w:rFonts w:hint="default" w:ascii="Arial" w:hAnsi="Arial" w:cs="Arial"/>
          <w:bCs/>
          <w:sz w:val="22"/>
          <w:szCs w:val="22"/>
          <w:lang w:val="en-US" w:eastAsia="zh-CN"/>
        </w:rPr>
        <w:t>April</w:t>
      </w:r>
      <w:r>
        <w:rPr>
          <w:rFonts w:ascii="Arial" w:hAnsi="Arial" w:cs="Arial"/>
          <w:bCs/>
          <w:sz w:val="22"/>
          <w:szCs w:val="22"/>
          <w:lang w:eastAsia="zh-CN"/>
        </w:rPr>
        <w:t xml:space="preserve"> </w:t>
      </w:r>
      <w:r>
        <w:rPr>
          <w:rFonts w:hint="default" w:ascii="Arial" w:hAnsi="Arial" w:cs="Arial"/>
          <w:bCs/>
          <w:sz w:val="22"/>
          <w:szCs w:val="22"/>
          <w:lang w:val="en-US" w:eastAsia="zh-CN"/>
        </w:rPr>
        <w:t>17</w:t>
      </w:r>
      <w:r>
        <w:rPr>
          <w:rFonts w:ascii="Arial" w:hAnsi="Arial" w:cs="Arial"/>
          <w:bCs/>
          <w:sz w:val="22"/>
          <w:szCs w:val="22"/>
          <w:lang w:eastAsia="zh-CN"/>
        </w:rPr>
        <w:t>–</w:t>
      </w:r>
      <w:r>
        <w:rPr>
          <w:rFonts w:hint="default" w:ascii="Arial" w:hAnsi="Arial" w:cs="Arial"/>
          <w:bCs/>
          <w:sz w:val="22"/>
          <w:szCs w:val="22"/>
          <w:lang w:val="en-US" w:eastAsia="zh-CN"/>
        </w:rPr>
        <w:t>26</w:t>
      </w:r>
      <w:r>
        <w:rPr>
          <w:rFonts w:ascii="Arial" w:hAnsi="Arial" w:cs="Arial"/>
          <w:bCs/>
          <w:sz w:val="22"/>
          <w:szCs w:val="22"/>
          <w:lang w:eastAsia="zh-CN"/>
        </w:rPr>
        <w:t>, 202</w:t>
      </w:r>
      <w:r>
        <w:rPr>
          <w:rFonts w:ascii="Arial" w:hAnsi="Arial" w:cs="Arial"/>
          <w:bCs/>
          <w:sz w:val="22"/>
          <w:szCs w:val="22"/>
          <w:lang w:val="en-US" w:eastAsia="zh-CN"/>
        </w:rPr>
        <w:t>3</w:t>
      </w:r>
      <w:bookmarkEnd w:id="0"/>
    </w:p>
    <w:p>
      <w:pPr>
        <w:pStyle w:val="177"/>
        <w:spacing w:before="100" w:beforeAutospacing="1" w:after="100" w:afterAutospacing="1" w:line="240" w:lineRule="auto"/>
        <w:rPr>
          <w:rFonts w:ascii="Arial" w:hAnsi="Arial" w:cs="Arial"/>
          <w:sz w:val="22"/>
          <w:szCs w:val="22"/>
        </w:rPr>
      </w:pPr>
    </w:p>
    <w:p>
      <w:pPr>
        <w:pStyle w:val="177"/>
        <w:spacing w:before="100" w:beforeAutospacing="1" w:after="100" w:afterAutospacing="1" w:line="240" w:lineRule="auto"/>
        <w:rPr>
          <w:rFonts w:hint="default" w:ascii="Arial" w:hAnsi="Arial" w:cs="Arial"/>
          <w:sz w:val="22"/>
          <w:szCs w:val="22"/>
          <w:highlight w:val="none"/>
          <w:lang w:val="en-US" w:eastAsia="zh-CN"/>
        </w:rPr>
      </w:pPr>
      <w:r>
        <w:rPr>
          <w:rFonts w:ascii="Arial" w:hAnsi="Arial" w:cs="Arial"/>
          <w:sz w:val="22"/>
          <w:szCs w:val="22"/>
        </w:rPr>
        <w:t>Agenda Item:</w:t>
      </w:r>
      <w:r>
        <w:rPr>
          <w:rFonts w:ascii="Arial" w:hAnsi="Arial" w:cs="Arial"/>
          <w:sz w:val="22"/>
          <w:szCs w:val="22"/>
        </w:rPr>
        <w:tab/>
      </w:r>
      <w:bookmarkStart w:id="1" w:name="OLE_LINK13"/>
      <w:r>
        <w:rPr>
          <w:rFonts w:ascii="Arial" w:hAnsi="Arial" w:cs="Arial"/>
          <w:sz w:val="22"/>
          <w:szCs w:val="22"/>
          <w:highlight w:val="none"/>
        </w:rPr>
        <w:t>10.</w:t>
      </w:r>
      <w:r>
        <w:rPr>
          <w:rFonts w:hint="default" w:ascii="Arial" w:hAnsi="Arial" w:cs="Arial"/>
          <w:sz w:val="22"/>
          <w:szCs w:val="22"/>
          <w:highlight w:val="none"/>
          <w:lang w:val="en-US"/>
        </w:rPr>
        <w:t>2</w:t>
      </w:r>
      <w:r>
        <w:rPr>
          <w:rFonts w:ascii="Arial" w:hAnsi="Arial" w:cs="Arial"/>
          <w:sz w:val="22"/>
          <w:szCs w:val="22"/>
          <w:highlight w:val="none"/>
        </w:rPr>
        <w:t>.</w:t>
      </w:r>
      <w:r>
        <w:rPr>
          <w:rFonts w:hint="default" w:ascii="Arial" w:hAnsi="Arial" w:cs="Arial"/>
          <w:sz w:val="22"/>
          <w:szCs w:val="22"/>
          <w:highlight w:val="none"/>
          <w:lang w:val="en-US"/>
        </w:rPr>
        <w:t>2</w:t>
      </w:r>
      <w:bookmarkEnd w:id="1"/>
    </w:p>
    <w:p>
      <w:pPr>
        <w:pStyle w:val="177"/>
        <w:spacing w:before="100" w:beforeAutospacing="1" w:after="100" w:afterAutospacing="1" w:line="240" w:lineRule="auto"/>
        <w:rPr>
          <w:rFonts w:hint="default"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pPr>
        <w:pStyle w:val="177"/>
        <w:spacing w:before="100" w:beforeAutospacing="1" w:after="100" w:afterAutospacing="1" w:line="240" w:lineRule="auto"/>
        <w:ind w:left="1791" w:hanging="1791" w:hangingChars="811"/>
        <w:rPr>
          <w:rFonts w:ascii="Arial" w:hAnsi="Arial" w:cs="Arial"/>
          <w:sz w:val="22"/>
          <w:szCs w:val="22"/>
          <w:lang w:eastAsia="zh-CN"/>
        </w:rPr>
      </w:pPr>
      <w:r>
        <w:rPr>
          <w:rFonts w:ascii="Arial" w:hAnsi="Arial" w:cs="Arial"/>
          <w:sz w:val="22"/>
          <w:szCs w:val="22"/>
        </w:rPr>
        <w:t>Title:</w:t>
      </w:r>
      <w:r>
        <w:rPr>
          <w:rFonts w:ascii="Arial" w:hAnsi="Arial" w:cs="Arial"/>
          <w:sz w:val="22"/>
          <w:szCs w:val="22"/>
        </w:rPr>
        <w:tab/>
      </w:r>
      <w:bookmarkStart w:id="2" w:name="OLE_LINK12"/>
      <w:r>
        <w:rPr>
          <w:rFonts w:hint="eastAsia" w:ascii="Arial" w:hAnsi="Arial" w:cs="Arial"/>
          <w:sz w:val="22"/>
          <w:szCs w:val="22"/>
        </w:rPr>
        <w:t>MRO for CPC and CPA</w:t>
      </w:r>
      <w:bookmarkEnd w:id="2"/>
    </w:p>
    <w:p>
      <w:pPr>
        <w:pStyle w:val="177"/>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rPr>
          <w:rFonts w:hint="default" w:eastAsia="宋体"/>
          <w:lang w:val="en-US" w:eastAsia="zh-CN"/>
        </w:rPr>
      </w:pPr>
      <w:r>
        <w:rPr>
          <w:rFonts w:hint="default" w:eastAsia="宋体"/>
          <w:lang w:val="en-US" w:eastAsia="zh-CN"/>
        </w:rPr>
        <w:t>In</w:t>
      </w:r>
      <w:r>
        <w:rPr>
          <w:rFonts w:hint="eastAsia" w:eastAsia="宋体"/>
          <w:lang w:eastAsia="zh-CN"/>
        </w:rPr>
        <w:t xml:space="preserve"> </w:t>
      </w:r>
      <w:r>
        <w:rPr>
          <w:rFonts w:hint="default" w:eastAsia="宋体"/>
          <w:lang w:val="en-US" w:eastAsia="zh-CN"/>
        </w:rPr>
        <w:t>the pas</w:t>
      </w:r>
      <w:r>
        <w:rPr>
          <w:rFonts w:hint="eastAsia" w:eastAsia="宋体"/>
          <w:lang w:eastAsia="zh-CN"/>
        </w:rPr>
        <w:t>t</w:t>
      </w:r>
      <w:r>
        <w:rPr>
          <w:rFonts w:hint="default" w:eastAsia="宋体"/>
          <w:lang w:val="en-US" w:eastAsia="zh-CN"/>
        </w:rPr>
        <w:t xml:space="preserve"> few</w:t>
      </w:r>
      <w:r>
        <w:rPr>
          <w:rFonts w:hint="eastAsia" w:eastAsia="宋体"/>
          <w:lang w:eastAsia="zh-CN"/>
        </w:rPr>
        <w:t xml:space="preserve"> </w:t>
      </w:r>
      <w:r>
        <w:rPr>
          <w:rFonts w:eastAsia="宋体"/>
          <w:lang w:val="en-US" w:eastAsia="zh-CN"/>
        </w:rPr>
        <w:t xml:space="preserve">RAN3 </w:t>
      </w:r>
      <w:r>
        <w:rPr>
          <w:rFonts w:hint="eastAsia" w:eastAsia="宋体"/>
          <w:lang w:eastAsia="zh-CN"/>
        </w:rPr>
        <w:t>meeting</w:t>
      </w:r>
      <w:r>
        <w:rPr>
          <w:rFonts w:hint="default" w:eastAsia="宋体"/>
          <w:lang w:val="en-US" w:eastAsia="zh-CN"/>
        </w:rPr>
        <w:t>s</w:t>
      </w:r>
      <w:r>
        <w:rPr>
          <w:rFonts w:eastAsia="宋体"/>
          <w:lang w:val="en-US" w:eastAsia="zh-CN"/>
        </w:rPr>
        <w:t xml:space="preserve">, </w:t>
      </w:r>
      <w:r>
        <w:rPr>
          <w:rFonts w:hint="default" w:eastAsia="宋体"/>
          <w:lang w:val="en-US" w:eastAsia="zh-CN"/>
        </w:rPr>
        <w:t xml:space="preserve">some </w:t>
      </w:r>
      <w:r>
        <w:rPr>
          <w:rFonts w:hint="eastAsia" w:ascii="Times New Roman" w:hAnsi="Times New Roman" w:eastAsia="宋体"/>
          <w:lang w:eastAsia="zh-CN"/>
        </w:rPr>
        <w:t>agreements</w:t>
      </w:r>
      <w:r>
        <w:rPr>
          <w:rFonts w:hint="default" w:eastAsia="宋体"/>
          <w:lang w:val="en-US" w:eastAsia="zh-CN"/>
        </w:rPr>
        <w:t xml:space="preserve"> for MRO for CPC and CPA </w:t>
      </w:r>
      <w:r>
        <w:rPr>
          <w:rFonts w:hint="eastAsia" w:ascii="Times New Roman" w:hAnsi="Times New Roman" w:eastAsia="宋体"/>
          <w:lang w:eastAsia="zh-CN"/>
        </w:rPr>
        <w:t>were achieved</w:t>
      </w:r>
      <w:r>
        <w:rPr>
          <w:rFonts w:hint="default" w:eastAsia="宋体"/>
          <w:lang w:val="en-US" w:eastAsia="zh-CN"/>
        </w:rPr>
        <w:t xml:space="preserve"> </w:t>
      </w:r>
      <w:r>
        <w:rPr>
          <w:rFonts w:hint="default" w:eastAsia="等线"/>
          <w:lang w:val="en-US" w:eastAsia="zh-CN"/>
        </w:rPr>
        <w:t>as shown below</w:t>
      </w:r>
      <w:r>
        <w:rPr>
          <w:rFonts w:hint="default" w:eastAsia="宋体"/>
          <w:lang w:val="en-US" w:eastAsia="zh-CN"/>
        </w:rPr>
        <w:t>.</w:t>
      </w:r>
    </w:p>
    <w:p>
      <w:pPr>
        <w:rPr>
          <w:rFonts w:ascii="Calibri" w:hAnsi="Calibri" w:cs="Calibri"/>
          <w:i/>
          <w:iCs/>
          <w:color w:val="00B050"/>
          <w:kern w:val="2"/>
          <w:sz w:val="16"/>
          <w:szCs w:val="16"/>
          <w:u w:val="single"/>
          <w:lang w:eastAsia="en-US"/>
        </w:rPr>
      </w:pPr>
      <w:r>
        <w:rPr>
          <w:rFonts w:hint="eastAsia" w:ascii="Calibri" w:hAnsi="Calibri" w:cs="Calibri"/>
          <w:i/>
          <w:iCs/>
          <w:color w:val="00B050"/>
          <w:kern w:val="2"/>
          <w:sz w:val="16"/>
          <w:szCs w:val="16"/>
          <w:u w:val="single"/>
          <w:lang w:eastAsia="en-US"/>
        </w:rPr>
        <w:t>MRO for CPC and CPA:</w:t>
      </w:r>
    </w:p>
    <w:p>
      <w:pPr>
        <w:rPr>
          <w:rFonts w:hint="eastAsia" w:ascii="Calibri" w:hAnsi="Calibri" w:eastAsia="MS Mincho" w:cs="Calibri"/>
          <w:i/>
          <w:iCs/>
          <w:color w:val="00B050"/>
          <w:kern w:val="2"/>
          <w:sz w:val="16"/>
          <w:szCs w:val="16"/>
          <w:lang w:eastAsia="en-US"/>
        </w:rPr>
      </w:pPr>
      <w:r>
        <w:rPr>
          <w:rFonts w:hint="eastAsia" w:ascii="Calibri" w:hAnsi="Calibri" w:eastAsia="MS Mincho" w:cs="Calibri"/>
          <w:i/>
          <w:iCs/>
          <w:color w:val="00B050"/>
          <w:kern w:val="2"/>
          <w:sz w:val="16"/>
          <w:szCs w:val="16"/>
          <w:lang w:eastAsia="en-US"/>
        </w:rPr>
        <w:t xml:space="preserve">For MRO for CPC and CPA, if </w:t>
      </w:r>
      <w:bookmarkStart w:id="3" w:name="OLE_LINK5"/>
      <w:r>
        <w:rPr>
          <w:rFonts w:hint="eastAsia" w:ascii="Calibri" w:hAnsi="Calibri" w:eastAsia="MS Mincho" w:cs="Calibri"/>
          <w:i/>
          <w:iCs/>
          <w:color w:val="00B050"/>
          <w:kern w:val="2"/>
          <w:sz w:val="16"/>
          <w:szCs w:val="16"/>
          <w:lang w:eastAsia="en-US"/>
        </w:rPr>
        <w:t>there are multiple events configured for CPA/CPC</w:t>
      </w:r>
      <w:bookmarkEnd w:id="3"/>
      <w:r>
        <w:rPr>
          <w:rFonts w:hint="eastAsia" w:ascii="Calibri" w:hAnsi="Calibri" w:eastAsia="MS Mincho" w:cs="Calibri"/>
          <w:i/>
          <w:iCs/>
          <w:color w:val="00B050"/>
          <w:kern w:val="2"/>
          <w:sz w:val="16"/>
          <w:szCs w:val="16"/>
          <w:lang w:eastAsia="en-US"/>
        </w:rPr>
        <w:t xml:space="preserve">, the UE reports the first triggered CPAC event, and the time duration between the two triggered CPAC events. </w:t>
      </w:r>
    </w:p>
    <w:p>
      <w:pPr>
        <w:rPr>
          <w:rFonts w:hint="eastAsia" w:ascii="Calibri" w:hAnsi="Calibri" w:eastAsia="MS Mincho" w:cs="Calibri"/>
          <w:i/>
          <w:iCs/>
          <w:color w:val="00B050"/>
          <w:kern w:val="2"/>
          <w:sz w:val="16"/>
          <w:szCs w:val="16"/>
          <w:lang w:eastAsia="en-US"/>
        </w:rPr>
      </w:pPr>
      <w:r>
        <w:rPr>
          <w:rFonts w:hint="eastAsia" w:ascii="Calibri" w:hAnsi="Calibri" w:eastAsia="MS Mincho" w:cs="Calibri"/>
          <w:i/>
          <w:iCs/>
          <w:color w:val="00B050"/>
          <w:kern w:val="2"/>
          <w:sz w:val="16"/>
          <w:szCs w:val="16"/>
          <w:lang w:eastAsia="en-US"/>
        </w:rPr>
        <w:t>For MRO for CPAC, deprioritize Case i/ii/iii/iv:</w:t>
      </w:r>
    </w:p>
    <w:p>
      <w:pPr>
        <w:rPr>
          <w:rFonts w:hint="eastAsia" w:ascii="Calibri" w:hAnsi="Calibri" w:eastAsia="MS Mincho" w:cs="Calibri"/>
          <w:i/>
          <w:iCs/>
          <w:color w:val="00B050"/>
          <w:kern w:val="2"/>
          <w:sz w:val="16"/>
          <w:szCs w:val="16"/>
          <w:lang w:eastAsia="en-US"/>
        </w:rPr>
      </w:pPr>
      <w:r>
        <w:rPr>
          <w:rFonts w:hint="eastAsia" w:ascii="Calibri" w:hAnsi="Calibri" w:eastAsia="MS Mincho" w:cs="Calibri"/>
          <w:i/>
          <w:iCs/>
          <w:color w:val="00B050"/>
          <w:kern w:val="2"/>
          <w:sz w:val="16"/>
          <w:szCs w:val="16"/>
          <w:lang w:eastAsia="en-US"/>
        </w:rPr>
        <w:t>-</w:t>
      </w:r>
      <w:r>
        <w:rPr>
          <w:rFonts w:hint="eastAsia" w:ascii="Calibri" w:hAnsi="Calibri" w:eastAsia="MS Mincho" w:cs="Calibri"/>
          <w:i/>
          <w:iCs/>
          <w:color w:val="00B050"/>
          <w:kern w:val="2"/>
          <w:sz w:val="16"/>
          <w:szCs w:val="16"/>
          <w:lang w:eastAsia="en-US"/>
        </w:rPr>
        <w:tab/>
      </w:r>
      <w:r>
        <w:rPr>
          <w:rFonts w:hint="eastAsia" w:ascii="Calibri" w:hAnsi="Calibri" w:eastAsia="MS Mincho" w:cs="Calibri"/>
          <w:i/>
          <w:iCs/>
          <w:color w:val="00B050"/>
          <w:kern w:val="2"/>
          <w:sz w:val="16"/>
          <w:szCs w:val="16"/>
          <w:lang w:eastAsia="en-US"/>
        </w:rPr>
        <w:t>Case i: mixed scenarios of legacy PA and CPA, i.e. UE receives CPA configuration, a legacy PSCell addition is performed but fails, or a legacy PSCell addition is performed and succeeds but an SCG failure occurs shortly after the successful legacy PSCell addition.</w:t>
      </w:r>
    </w:p>
    <w:p>
      <w:pPr>
        <w:rPr>
          <w:rFonts w:hint="eastAsia" w:ascii="Calibri" w:hAnsi="Calibri" w:eastAsia="MS Mincho" w:cs="Calibri"/>
          <w:i/>
          <w:iCs/>
          <w:color w:val="00B050"/>
          <w:kern w:val="2"/>
          <w:sz w:val="16"/>
          <w:szCs w:val="16"/>
          <w:lang w:eastAsia="en-US"/>
        </w:rPr>
      </w:pPr>
      <w:r>
        <w:rPr>
          <w:rFonts w:hint="eastAsia" w:ascii="Calibri" w:hAnsi="Calibri" w:eastAsia="MS Mincho" w:cs="Calibri"/>
          <w:i/>
          <w:iCs/>
          <w:color w:val="00B050"/>
          <w:kern w:val="2"/>
          <w:sz w:val="16"/>
          <w:szCs w:val="16"/>
          <w:lang w:eastAsia="en-US"/>
        </w:rPr>
        <w:t>-</w:t>
      </w:r>
      <w:r>
        <w:rPr>
          <w:rFonts w:hint="eastAsia" w:ascii="Calibri" w:hAnsi="Calibri" w:eastAsia="MS Mincho" w:cs="Calibri"/>
          <w:i/>
          <w:iCs/>
          <w:color w:val="00B050"/>
          <w:kern w:val="2"/>
          <w:sz w:val="16"/>
          <w:szCs w:val="16"/>
          <w:lang w:eastAsia="en-US"/>
        </w:rPr>
        <w:tab/>
      </w:r>
      <w:r>
        <w:rPr>
          <w:rFonts w:hint="eastAsia" w:ascii="Calibri" w:hAnsi="Calibri" w:eastAsia="MS Mincho" w:cs="Calibri"/>
          <w:i/>
          <w:iCs/>
          <w:color w:val="00B050"/>
          <w:kern w:val="2"/>
          <w:sz w:val="16"/>
          <w:szCs w:val="16"/>
          <w:lang w:eastAsia="en-US"/>
        </w:rPr>
        <w:t>Case ii: mixed scenarios of legacy PC and CPC, i.e. UE receives CPC configuration, a legacy PSCell change is performed but fails, or a legacy PSCell change is performed and succeeds but an SCG failure occurs shortly after the successful legacy PSCell change.</w:t>
      </w:r>
    </w:p>
    <w:p>
      <w:pPr>
        <w:rPr>
          <w:rFonts w:hint="eastAsia" w:ascii="Calibri" w:hAnsi="Calibri" w:eastAsia="MS Mincho" w:cs="Calibri"/>
          <w:i/>
          <w:iCs/>
          <w:color w:val="00B050"/>
          <w:kern w:val="2"/>
          <w:sz w:val="16"/>
          <w:szCs w:val="16"/>
          <w:lang w:eastAsia="en-US"/>
        </w:rPr>
      </w:pPr>
      <w:r>
        <w:rPr>
          <w:rFonts w:hint="eastAsia" w:ascii="Calibri" w:hAnsi="Calibri" w:eastAsia="MS Mincho" w:cs="Calibri"/>
          <w:i/>
          <w:iCs/>
          <w:color w:val="00B050"/>
          <w:kern w:val="2"/>
          <w:sz w:val="16"/>
          <w:szCs w:val="16"/>
          <w:lang w:eastAsia="en-US"/>
        </w:rPr>
        <w:t>-</w:t>
      </w:r>
      <w:r>
        <w:rPr>
          <w:rFonts w:hint="eastAsia" w:ascii="Calibri" w:hAnsi="Calibri" w:eastAsia="MS Mincho" w:cs="Calibri"/>
          <w:i/>
          <w:iCs/>
          <w:color w:val="00B050"/>
          <w:kern w:val="2"/>
          <w:sz w:val="16"/>
          <w:szCs w:val="16"/>
          <w:lang w:eastAsia="en-US"/>
        </w:rPr>
        <w:tab/>
      </w:r>
      <w:r>
        <w:rPr>
          <w:rFonts w:hint="eastAsia" w:ascii="Calibri" w:hAnsi="Calibri" w:eastAsia="MS Mincho" w:cs="Calibri"/>
          <w:i/>
          <w:iCs/>
          <w:color w:val="00B050"/>
          <w:kern w:val="2"/>
          <w:sz w:val="16"/>
          <w:szCs w:val="16"/>
          <w:lang w:eastAsia="en-US"/>
        </w:rPr>
        <w:t>Case iii: MCG RLF or handover failure or CHO execution failure before CPA/CPC execution.</w:t>
      </w:r>
    </w:p>
    <w:p>
      <w:pPr>
        <w:rPr>
          <w:rFonts w:hint="eastAsia" w:ascii="Calibri" w:hAnsi="Calibri" w:eastAsia="MS Mincho" w:cs="Calibri"/>
          <w:i/>
          <w:iCs/>
          <w:color w:val="00B050"/>
          <w:kern w:val="2"/>
          <w:sz w:val="16"/>
          <w:szCs w:val="16"/>
          <w:lang w:eastAsia="en-US"/>
        </w:rPr>
      </w:pPr>
      <w:r>
        <w:rPr>
          <w:rFonts w:hint="eastAsia" w:ascii="Calibri" w:hAnsi="Calibri" w:eastAsia="MS Mincho" w:cs="Calibri"/>
          <w:i/>
          <w:iCs/>
          <w:color w:val="00B050"/>
          <w:kern w:val="2"/>
          <w:sz w:val="16"/>
          <w:szCs w:val="16"/>
          <w:lang w:eastAsia="en-US"/>
        </w:rPr>
        <w:t>-</w:t>
      </w:r>
      <w:r>
        <w:rPr>
          <w:rFonts w:hint="eastAsia" w:ascii="Calibri" w:hAnsi="Calibri" w:eastAsia="MS Mincho" w:cs="Calibri"/>
          <w:i/>
          <w:iCs/>
          <w:color w:val="00B050"/>
          <w:kern w:val="2"/>
          <w:sz w:val="16"/>
          <w:szCs w:val="16"/>
          <w:lang w:eastAsia="en-US"/>
        </w:rPr>
        <w:tab/>
      </w:r>
      <w:r>
        <w:rPr>
          <w:rFonts w:hint="eastAsia" w:ascii="Calibri" w:hAnsi="Calibri" w:eastAsia="MS Mincho" w:cs="Calibri"/>
          <w:i/>
          <w:iCs/>
          <w:color w:val="00B050"/>
          <w:kern w:val="2"/>
          <w:sz w:val="16"/>
          <w:szCs w:val="16"/>
          <w:lang w:eastAsia="en-US"/>
        </w:rPr>
        <w:t>Case iv: CHO-CPC coexistence scenarios with low priority.</w:t>
      </w:r>
    </w:p>
    <w:p>
      <w:pPr>
        <w:rPr>
          <w:rFonts w:hint="default" w:eastAsia="等线"/>
          <w:lang w:val="en-US" w:eastAsia="zh-CN"/>
        </w:rPr>
      </w:pPr>
      <w:r>
        <w:rPr>
          <w:rFonts w:hint="default" w:eastAsia="宋体"/>
          <w:lang w:val="en-US" w:eastAsia="zh-CN"/>
        </w:rPr>
        <w:t xml:space="preserve">We can notice both RAN2 and RAN3 have further discussion on </w:t>
      </w:r>
      <w:bookmarkStart w:id="4" w:name="OLE_LINK2"/>
      <w:r>
        <w:rPr>
          <w:rFonts w:hint="default" w:eastAsia="宋体"/>
          <w:lang w:val="en-US" w:eastAsia="zh-CN"/>
        </w:rPr>
        <w:t>enhancements on SCGFailureInformation</w:t>
      </w:r>
      <w:bookmarkEnd w:id="4"/>
      <w:r>
        <w:rPr>
          <w:rFonts w:hint="default" w:eastAsia="宋体"/>
          <w:lang w:val="en-US" w:eastAsia="zh-CN"/>
        </w:rPr>
        <w:t xml:space="preserve"> for CPC and CPA. </w:t>
      </w:r>
      <w:r>
        <w:rPr>
          <w:rFonts w:hint="default" w:eastAsia="等线"/>
          <w:lang w:val="en-US" w:eastAsia="zh-CN"/>
        </w:rPr>
        <w:t xml:space="preserve">In this contribution, we would provide some </w:t>
      </w:r>
      <w:r>
        <w:rPr>
          <w:rFonts w:eastAsia="等线"/>
          <w:lang w:val="en-US" w:eastAsia="zh-CN"/>
        </w:rPr>
        <w:t>proposals</w:t>
      </w:r>
      <w:r>
        <w:rPr>
          <w:rFonts w:hint="default" w:eastAsia="等线"/>
          <w:lang w:val="en-US" w:eastAsia="zh-CN"/>
        </w:rPr>
        <w:t xml:space="preserve"> on </w:t>
      </w:r>
      <w:r>
        <w:rPr>
          <w:rFonts w:hint="default" w:eastAsia="宋体"/>
          <w:lang w:val="en-US" w:eastAsia="zh-CN"/>
        </w:rPr>
        <w:t xml:space="preserve">enhancements on SCGFailureInformation for </w:t>
      </w:r>
      <w:bookmarkStart w:id="5" w:name="OLE_LINK1"/>
      <w:r>
        <w:rPr>
          <w:rFonts w:hint="default" w:eastAsia="宋体"/>
          <w:lang w:val="en-US" w:eastAsia="zh-CN"/>
        </w:rPr>
        <w:t>the case</w:t>
      </w:r>
      <w:bookmarkEnd w:id="5"/>
      <w:r>
        <w:rPr>
          <w:rFonts w:hint="default" w:eastAsia="宋体"/>
          <w:lang w:val="en-US" w:eastAsia="zh-CN"/>
        </w:rPr>
        <w:t xml:space="preserve"> </w:t>
      </w:r>
      <w:r>
        <w:rPr>
          <w:rFonts w:hint="default" w:eastAsia="等线"/>
          <w:lang w:val="en-US" w:eastAsia="zh-CN"/>
        </w:rPr>
        <w:t>that there is a SCG failure before CPC execution</w:t>
      </w:r>
      <w:r>
        <w:rPr>
          <w:rFonts w:hint="default" w:eastAsia="宋体"/>
          <w:lang w:val="en-US" w:eastAsia="zh-CN"/>
        </w:rPr>
        <w:t xml:space="preserve"> and further disc</w:t>
      </w:r>
      <w:r>
        <w:rPr>
          <w:rFonts w:hint="default" w:eastAsia="等线"/>
          <w:lang w:val="en-US" w:eastAsia="zh-CN"/>
        </w:rPr>
        <w:t xml:space="preserve">uss on </w:t>
      </w:r>
      <w:r>
        <w:rPr>
          <w:rFonts w:hint="default" w:eastAsia="宋体"/>
          <w:lang w:val="en-US" w:eastAsia="zh-CN"/>
        </w:rPr>
        <w:t xml:space="preserve">the case of </w:t>
      </w:r>
      <w:r>
        <w:rPr>
          <w:rFonts w:hint="eastAsia" w:eastAsia="等线"/>
          <w:lang w:val="en-US" w:eastAsia="en-US"/>
        </w:rPr>
        <w:t>MCG RLF</w:t>
      </w:r>
      <w:r>
        <w:rPr>
          <w:rFonts w:hint="default" w:eastAsia="等线"/>
          <w:lang w:val="en-US" w:eastAsia="en-US"/>
        </w:rPr>
        <w:t xml:space="preserve"> </w:t>
      </w:r>
      <w:r>
        <w:rPr>
          <w:rFonts w:hint="eastAsia" w:eastAsia="等线"/>
          <w:lang w:val="en-US" w:eastAsia="en-US"/>
        </w:rPr>
        <w:t>before CPA/CPC execution</w:t>
      </w:r>
      <w:r>
        <w:rPr>
          <w:rFonts w:hint="default" w:eastAsia="等线"/>
          <w:lang w:val="en-US" w:eastAsia="zh-CN"/>
        </w:rPr>
        <w:t>.</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2 Discussion</w:t>
      </w:r>
    </w:p>
    <w:p>
      <w:pPr>
        <w:pStyle w:val="3"/>
        <w:bidi w:val="0"/>
        <w:rPr>
          <w:rFonts w:hint="default"/>
          <w:lang w:val="en-US" w:eastAsia="zh-CN"/>
        </w:rPr>
      </w:pPr>
      <w:r>
        <w:rPr>
          <w:rFonts w:hint="default"/>
          <w:lang w:val="en-US" w:eastAsia="zh-CN"/>
        </w:rPr>
        <w:t>2.1 SCG failure before CPC execution</w:t>
      </w:r>
    </w:p>
    <w:p>
      <w:pPr>
        <w:jc w:val="both"/>
        <w:rPr>
          <w:rFonts w:hint="default" w:eastAsia="等线"/>
          <w:lang w:val="en-US" w:eastAsia="zh-CN"/>
        </w:rPr>
      </w:pPr>
      <w:r>
        <w:rPr>
          <w:rFonts w:hint="default" w:eastAsia="等线"/>
          <w:lang w:val="en-US" w:eastAsia="zh-CN"/>
        </w:rPr>
        <w:t xml:space="preserve">In the procedures of CPA and CPC, the MN sends </w:t>
      </w:r>
      <w:r>
        <w:rPr>
          <w:rFonts w:hint="default" w:eastAsia="等线"/>
          <w:i/>
          <w:iCs/>
          <w:lang w:val="en-US" w:eastAsia="zh-CN"/>
        </w:rPr>
        <w:t>RRCreconfiguration</w:t>
      </w:r>
      <w:r>
        <w:rPr>
          <w:rFonts w:hint="default" w:eastAsia="等线"/>
          <w:lang w:val="en-US" w:eastAsia="zh-CN"/>
        </w:rPr>
        <w:t xml:space="preserve"> message including the CPA/CPC configuration to UE. The CPA/CPC configuration contains the configuration of CPA/CPC candidate PSCell(s) and the execution condition(s). After receiving the CPA/CPC configuration, UE stores the CPA/CPC configuration and then starts evaluating the associated execution condition(s). If the execution condition of one candidate PSCell is satisfied, the UE performs the procedure of CPA/CPC execution.</w:t>
      </w:r>
    </w:p>
    <w:p>
      <w:pPr>
        <w:jc w:val="both"/>
        <w:rPr>
          <w:rFonts w:hint="default" w:eastAsia="等线"/>
          <w:lang w:val="en-US" w:eastAsia="zh-CN"/>
        </w:rPr>
      </w:pPr>
      <w:r>
        <w:rPr>
          <w:rFonts w:hint="default" w:eastAsia="等线"/>
          <w:lang w:val="en-US" w:eastAsia="zh-CN"/>
        </w:rPr>
        <w:t xml:space="preserve">In the case of CPC, inappropriate CPC configuration may cause that there is a SCG failure before CPC execution. That means the CPC candidate PSCell(s) and the execution condition(s) included in CPC configuration may be not </w:t>
      </w:r>
      <w:r>
        <w:rPr>
          <w:rFonts w:eastAsia="宋体"/>
          <w:kern w:val="2"/>
          <w:lang w:val="en-US" w:eastAsia="zh-CN"/>
        </w:rPr>
        <w:t>configured properly</w:t>
      </w:r>
      <w:r>
        <w:rPr>
          <w:rFonts w:hint="default" w:eastAsia="宋体"/>
          <w:kern w:val="2"/>
          <w:lang w:val="en-US" w:eastAsia="zh-CN"/>
        </w:rPr>
        <w:t xml:space="preserve"> or the </w:t>
      </w:r>
      <w:r>
        <w:rPr>
          <w:rFonts w:hint="default" w:eastAsia="等线"/>
          <w:lang w:val="en-US" w:eastAsia="zh-CN"/>
        </w:rPr>
        <w:t xml:space="preserve">CPC configuration may be sent too late to UE. So in the case of </w:t>
      </w:r>
      <w:r>
        <w:rPr>
          <w:rFonts w:eastAsia="宋体"/>
          <w:kern w:val="2"/>
          <w:lang w:val="en-US" w:eastAsia="zh-CN"/>
        </w:rPr>
        <w:t>SCG failure occurs before CPC execution</w:t>
      </w:r>
      <w:r>
        <w:rPr>
          <w:rFonts w:hint="default" w:eastAsia="等线"/>
          <w:lang w:val="en-US" w:eastAsia="zh-CN"/>
        </w:rPr>
        <w:t xml:space="preserve">, we think it is beneficial to include the time elapsed between the SCG failure in source SCG and the latest CPC configuration is received and the information of the CPC event trigger condition in the </w:t>
      </w:r>
      <w:r>
        <w:rPr>
          <w:rFonts w:hint="default" w:eastAsia="等线"/>
          <w:i/>
          <w:iCs/>
          <w:lang w:val="en-US" w:eastAsia="zh-CN"/>
        </w:rPr>
        <w:t>SCGFailureInformation</w:t>
      </w:r>
      <w:r>
        <w:rPr>
          <w:rFonts w:hint="default" w:eastAsia="等线"/>
          <w:lang w:val="en-US" w:eastAsia="zh-CN"/>
        </w:rPr>
        <w:t xml:space="preserve"> message reported by UE.</w:t>
      </w:r>
    </w:p>
    <w:p>
      <w:pPr>
        <w:jc w:val="both"/>
        <w:rPr>
          <w:rFonts w:hint="default"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roposal 1: For MRO for CPC</w:t>
      </w:r>
      <w:r>
        <w:rPr>
          <w:rFonts w:hint="default" w:eastAsia="宋体"/>
          <w:b/>
          <w:bCs/>
          <w:sz w:val="20"/>
          <w:szCs w:val="20"/>
          <w:lang w:val="en-US" w:eastAsia="zh-CN"/>
        </w:rPr>
        <w:t xml:space="preserve">, if there is a SCG failure before CPC execution, the UE reports the following information in the </w:t>
      </w:r>
      <w:r>
        <w:rPr>
          <w:rFonts w:hint="default" w:eastAsia="宋体"/>
          <w:b/>
          <w:bCs/>
          <w:i/>
          <w:iCs/>
          <w:sz w:val="20"/>
          <w:szCs w:val="20"/>
          <w:lang w:val="en-US" w:eastAsia="zh-CN"/>
        </w:rPr>
        <w:t>SCGFailureInformation</w:t>
      </w:r>
      <w:r>
        <w:rPr>
          <w:rFonts w:hint="default" w:eastAsia="宋体"/>
          <w:b/>
          <w:bCs/>
          <w:sz w:val="20"/>
          <w:szCs w:val="20"/>
          <w:lang w:val="en-US" w:eastAsia="zh-CN"/>
        </w:rPr>
        <w:t xml:space="preserve"> message</w:t>
      </w:r>
    </w:p>
    <w:p>
      <w:pPr>
        <w:numPr>
          <w:ilvl w:val="0"/>
          <w:numId w:val="4"/>
        </w:numPr>
        <w:ind w:left="420" w:leftChars="0" w:hanging="420" w:firstLineChars="0"/>
        <w:jc w:val="both"/>
        <w:rPr>
          <w:rFonts w:hint="default" w:eastAsia="宋体"/>
          <w:b/>
          <w:bCs/>
          <w:sz w:val="20"/>
          <w:szCs w:val="20"/>
          <w:lang w:val="en-US" w:eastAsia="zh-CN"/>
        </w:rPr>
      </w:pPr>
      <w:r>
        <w:rPr>
          <w:rFonts w:hint="default" w:eastAsia="宋体"/>
          <w:b/>
          <w:bCs/>
          <w:sz w:val="20"/>
          <w:szCs w:val="20"/>
          <w:lang w:val="en-US" w:eastAsia="zh-CN"/>
        </w:rPr>
        <w:t>The time elapsed between the SCG failure in source SCG and the latest CPC configuration is received.</w:t>
      </w:r>
    </w:p>
    <w:p>
      <w:pPr>
        <w:numPr>
          <w:ilvl w:val="0"/>
          <w:numId w:val="4"/>
        </w:numPr>
        <w:ind w:left="420" w:leftChars="0" w:hanging="420" w:firstLineChars="0"/>
        <w:jc w:val="both"/>
        <w:rPr>
          <w:rFonts w:hint="default" w:eastAsia="宋体"/>
          <w:b/>
          <w:bCs/>
          <w:sz w:val="20"/>
          <w:szCs w:val="20"/>
          <w:lang w:val="en-US" w:eastAsia="zh-CN"/>
        </w:rPr>
      </w:pPr>
      <w:bookmarkStart w:id="6" w:name="OLE_LINK14"/>
      <w:r>
        <w:rPr>
          <w:rFonts w:hint="default" w:eastAsia="宋体"/>
          <w:b/>
          <w:bCs/>
          <w:sz w:val="20"/>
          <w:szCs w:val="20"/>
          <w:lang w:val="en-US" w:eastAsia="zh-CN"/>
        </w:rPr>
        <w:t xml:space="preserve">The information of the CPC event trigger condition, e.g. no configured CPC event triggered, and only one of the CPC </w:t>
      </w:r>
      <w:bookmarkStart w:id="7" w:name="OLE_LINK7"/>
      <w:r>
        <w:rPr>
          <w:rFonts w:hint="default" w:eastAsia="宋体"/>
          <w:b/>
          <w:bCs/>
          <w:sz w:val="20"/>
          <w:szCs w:val="20"/>
          <w:lang w:val="en-US" w:eastAsia="zh-CN"/>
        </w:rPr>
        <w:t>events triggered</w:t>
      </w:r>
      <w:bookmarkEnd w:id="7"/>
      <w:r>
        <w:rPr>
          <w:rFonts w:hint="default" w:eastAsia="宋体"/>
          <w:b/>
          <w:bCs/>
          <w:sz w:val="20"/>
          <w:szCs w:val="20"/>
          <w:lang w:val="en-US" w:eastAsia="zh-CN"/>
        </w:rPr>
        <w:t xml:space="preserve"> when there are multiple events configured for CPC. The detail can follow the agreement that the UE reports the first triggered CPAC event for MRO for CPC and CPA achieved in RAN3#119.</w:t>
      </w:r>
      <w:bookmarkEnd w:id="6"/>
    </w:p>
    <w:p>
      <w:pPr>
        <w:pStyle w:val="3"/>
        <w:bidi w:val="0"/>
        <w:rPr>
          <w:rFonts w:hint="eastAsia"/>
          <w:lang w:val="en-US" w:eastAsia="zh-CN"/>
        </w:rPr>
      </w:pPr>
      <w:r>
        <w:rPr>
          <w:rFonts w:hint="default"/>
          <w:lang w:val="en-US" w:eastAsia="en-US"/>
        </w:rPr>
        <w:t xml:space="preserve">2.2 </w:t>
      </w:r>
      <w:r>
        <w:rPr>
          <w:rFonts w:hint="eastAsia"/>
          <w:lang w:val="en-US" w:eastAsia="en-US"/>
        </w:rPr>
        <w:t>MCG RLF</w:t>
      </w:r>
      <w:r>
        <w:rPr>
          <w:rFonts w:hint="default"/>
          <w:lang w:val="en-US" w:eastAsia="en-US"/>
        </w:rPr>
        <w:t xml:space="preserve"> </w:t>
      </w:r>
      <w:r>
        <w:rPr>
          <w:rFonts w:hint="eastAsia"/>
          <w:lang w:val="en-US" w:eastAsia="en-US"/>
        </w:rPr>
        <w:t>before CPA/CPC execution</w:t>
      </w:r>
    </w:p>
    <w:p>
      <w:pPr>
        <w:numPr>
          <w:ilvl w:val="0"/>
          <w:numId w:val="0"/>
        </w:numPr>
        <w:spacing w:after="180"/>
        <w:jc w:val="both"/>
        <w:rPr>
          <w:rFonts w:hint="default" w:eastAsia="宋体"/>
          <w:b w:val="0"/>
          <w:bCs w:val="0"/>
          <w:sz w:val="20"/>
          <w:szCs w:val="20"/>
          <w:lang w:val="en-US" w:eastAsia="zh-CN"/>
        </w:rPr>
      </w:pPr>
      <w:r>
        <w:rPr>
          <w:rFonts w:hint="default" w:eastAsia="宋体"/>
          <w:b w:val="0"/>
          <w:bCs w:val="0"/>
          <w:sz w:val="20"/>
          <w:szCs w:val="20"/>
          <w:lang w:val="en-US" w:eastAsia="zh-CN"/>
        </w:rPr>
        <w:t>At RAN3#117bis-e meeting, RAN3 had agreements to deprioritize Case i/ii/iii/iv for MRO for CPAC.</w:t>
      </w:r>
    </w:p>
    <w:p>
      <w:pPr>
        <w:rPr>
          <w:rFonts w:hint="eastAsia" w:ascii="Calibri" w:hAnsi="Calibri" w:eastAsia="MS Mincho" w:cs="Calibri"/>
          <w:i/>
          <w:iCs/>
          <w:color w:val="00B050"/>
          <w:kern w:val="2"/>
          <w:sz w:val="16"/>
          <w:szCs w:val="16"/>
          <w:lang w:eastAsia="en-US"/>
        </w:rPr>
      </w:pPr>
      <w:r>
        <w:rPr>
          <w:rFonts w:hint="eastAsia" w:ascii="Calibri" w:hAnsi="Calibri" w:eastAsia="MS Mincho" w:cs="Calibri"/>
          <w:i/>
          <w:iCs/>
          <w:color w:val="00B050"/>
          <w:kern w:val="2"/>
          <w:sz w:val="16"/>
          <w:szCs w:val="16"/>
          <w:lang w:eastAsia="en-US"/>
        </w:rPr>
        <w:t>-</w:t>
      </w:r>
      <w:r>
        <w:rPr>
          <w:rFonts w:hint="eastAsia" w:ascii="Calibri" w:hAnsi="Calibri" w:eastAsia="MS Mincho" w:cs="Calibri"/>
          <w:i/>
          <w:iCs/>
          <w:color w:val="00B050"/>
          <w:kern w:val="2"/>
          <w:sz w:val="16"/>
          <w:szCs w:val="16"/>
          <w:lang w:eastAsia="en-US"/>
        </w:rPr>
        <w:tab/>
      </w:r>
      <w:r>
        <w:rPr>
          <w:rFonts w:hint="eastAsia" w:ascii="Calibri" w:hAnsi="Calibri" w:eastAsia="MS Mincho" w:cs="Calibri"/>
          <w:i/>
          <w:iCs/>
          <w:color w:val="00B050"/>
          <w:kern w:val="2"/>
          <w:sz w:val="16"/>
          <w:szCs w:val="16"/>
          <w:lang w:eastAsia="en-US"/>
        </w:rPr>
        <w:t>Case iii: MCG RLF or handover failure or CHO execution failure before CPA/CPC execution.</w:t>
      </w:r>
    </w:p>
    <w:p>
      <w:pPr>
        <w:numPr>
          <w:ilvl w:val="0"/>
          <w:numId w:val="0"/>
        </w:numPr>
        <w:spacing w:after="180"/>
        <w:jc w:val="both"/>
        <w:rPr>
          <w:rFonts w:hint="default" w:eastAsia="等线"/>
          <w:lang w:val="en-US" w:eastAsia="zh-CN"/>
        </w:rPr>
      </w:pPr>
      <w:r>
        <w:rPr>
          <w:rFonts w:hint="default" w:eastAsia="宋体"/>
          <w:b w:val="0"/>
          <w:bCs w:val="0"/>
          <w:sz w:val="20"/>
          <w:szCs w:val="20"/>
          <w:lang w:val="en-US" w:eastAsia="zh-CN"/>
        </w:rPr>
        <w:t xml:space="preserve">Among the three sub-cases of Case iii, we think </w:t>
      </w:r>
      <w:r>
        <w:rPr>
          <w:rFonts w:hint="eastAsia"/>
          <w:lang w:val="en-US" w:eastAsia="en-US"/>
        </w:rPr>
        <w:t>MCG RLF</w:t>
      </w:r>
      <w:r>
        <w:rPr>
          <w:rFonts w:hint="default"/>
          <w:lang w:val="en-US" w:eastAsia="en-US"/>
        </w:rPr>
        <w:t xml:space="preserve"> </w:t>
      </w:r>
      <w:r>
        <w:rPr>
          <w:rFonts w:hint="eastAsia"/>
          <w:lang w:val="en-US" w:eastAsia="en-US"/>
        </w:rPr>
        <w:t>before CPA/CPC execution</w:t>
      </w:r>
      <w:r>
        <w:rPr>
          <w:rFonts w:hint="default"/>
          <w:lang w:val="en-US" w:eastAsia="en-US"/>
        </w:rPr>
        <w:t xml:space="preserve"> is a more general scenario and the cooperation between </w:t>
      </w:r>
      <w:r>
        <w:rPr>
          <w:rFonts w:hint="eastAsia"/>
          <w:lang w:val="en-US" w:eastAsia="en-US"/>
        </w:rPr>
        <w:t>MCG</w:t>
      </w:r>
      <w:r>
        <w:rPr>
          <w:rFonts w:hint="default"/>
          <w:lang w:val="en-US" w:eastAsia="en-US"/>
        </w:rPr>
        <w:t xml:space="preserve"> and SCG for MR-DC is need to be considered. </w:t>
      </w:r>
      <w:bookmarkStart w:id="8" w:name="OLE_LINK3"/>
      <w:r>
        <w:rPr>
          <w:rFonts w:hint="default" w:eastAsia="宋体"/>
          <w:b w:val="0"/>
          <w:bCs w:val="0"/>
          <w:sz w:val="20"/>
          <w:szCs w:val="20"/>
          <w:lang w:val="en-US" w:eastAsia="zh-CN"/>
        </w:rPr>
        <w:t>In this case,</w:t>
      </w:r>
      <w:bookmarkEnd w:id="8"/>
      <w:r>
        <w:rPr>
          <w:rFonts w:hint="default" w:eastAsia="宋体"/>
          <w:b w:val="0"/>
          <w:bCs w:val="0"/>
          <w:sz w:val="20"/>
          <w:szCs w:val="20"/>
          <w:lang w:val="en-US" w:eastAsia="zh-CN"/>
        </w:rPr>
        <w:t xml:space="preserve"> </w:t>
      </w:r>
      <w:r>
        <w:rPr>
          <w:rFonts w:hint="default" w:eastAsia="等线"/>
          <w:lang w:val="en-US" w:eastAsia="zh-CN"/>
        </w:rPr>
        <w:t xml:space="preserve">when the </w:t>
      </w:r>
      <w:r>
        <w:rPr>
          <w:rFonts w:hint="default" w:eastAsia="宋体"/>
          <w:b w:val="0"/>
          <w:bCs w:val="0"/>
          <w:sz w:val="20"/>
          <w:szCs w:val="20"/>
          <w:lang w:val="en-US" w:eastAsia="zh-CN"/>
        </w:rPr>
        <w:t xml:space="preserve">MCG RLF occurs there is no configured </w:t>
      </w:r>
      <w:r>
        <w:rPr>
          <w:rFonts w:hint="default" w:eastAsia="等线"/>
          <w:lang w:val="en-US" w:eastAsia="zh-CN"/>
        </w:rPr>
        <w:t xml:space="preserve">CPA/CPC </w:t>
      </w:r>
      <w:r>
        <w:rPr>
          <w:rFonts w:hint="default" w:eastAsia="宋体"/>
          <w:b w:val="0"/>
          <w:bCs w:val="0"/>
          <w:sz w:val="20"/>
          <w:szCs w:val="20"/>
          <w:lang w:val="en-US" w:eastAsia="zh-CN"/>
        </w:rPr>
        <w:t>event triggered</w:t>
      </w:r>
      <w:r>
        <w:rPr>
          <w:rFonts w:hint="default" w:eastAsia="等线"/>
          <w:lang w:val="en-US" w:eastAsia="zh-CN"/>
        </w:rPr>
        <w:t xml:space="preserve"> or only one of the </w:t>
      </w:r>
      <w:r>
        <w:rPr>
          <w:rFonts w:hint="default" w:eastAsia="宋体"/>
          <w:b w:val="0"/>
          <w:bCs w:val="0"/>
          <w:sz w:val="20"/>
          <w:szCs w:val="20"/>
          <w:lang w:val="en-US" w:eastAsia="zh-CN"/>
        </w:rPr>
        <w:t>CPA/CPC</w:t>
      </w:r>
      <w:r>
        <w:rPr>
          <w:rFonts w:hint="default" w:eastAsia="等线"/>
          <w:lang w:val="en-US" w:eastAsia="zh-CN"/>
        </w:rPr>
        <w:t xml:space="preserve"> events triggered when multiple events configured for CPA/CPC</w:t>
      </w:r>
      <w:r>
        <w:rPr>
          <w:rFonts w:hint="default" w:eastAsia="宋体"/>
          <w:b w:val="0"/>
          <w:bCs w:val="0"/>
          <w:sz w:val="20"/>
          <w:szCs w:val="20"/>
          <w:lang w:val="en-US" w:eastAsia="zh-CN"/>
        </w:rPr>
        <w:t xml:space="preserve">. That means </w:t>
      </w:r>
      <w:r>
        <w:rPr>
          <w:rFonts w:hint="default" w:eastAsia="宋体"/>
          <w:kern w:val="2"/>
          <w:lang w:val="en-US" w:eastAsia="zh-CN"/>
        </w:rPr>
        <w:t xml:space="preserve">there is no need to </w:t>
      </w:r>
      <w:r>
        <w:rPr>
          <w:rFonts w:hint="default" w:eastAsia="等线"/>
          <w:lang w:val="en-US" w:eastAsia="zh-CN"/>
        </w:rPr>
        <w:t>configure</w:t>
      </w:r>
      <w:r>
        <w:rPr>
          <w:rFonts w:hint="default" w:eastAsia="宋体"/>
          <w:kern w:val="2"/>
          <w:lang w:val="en-US" w:eastAsia="zh-CN"/>
        </w:rPr>
        <w:t xml:space="preserve"> </w:t>
      </w:r>
      <w:r>
        <w:rPr>
          <w:rFonts w:hint="default" w:eastAsia="宋体"/>
          <w:b w:val="0"/>
          <w:bCs w:val="0"/>
          <w:sz w:val="20"/>
          <w:szCs w:val="20"/>
          <w:lang w:val="en-US" w:eastAsia="zh-CN"/>
        </w:rPr>
        <w:t xml:space="preserve">CPA/CPC </w:t>
      </w:r>
      <w:r>
        <w:rPr>
          <w:rFonts w:hint="default" w:eastAsia="等线"/>
          <w:lang w:val="en-US" w:eastAsia="zh-CN"/>
        </w:rPr>
        <w:t xml:space="preserve">to UE, since the evaluation of the associated execution condition(s) also caused unnecessary UE power consumption. Additional, before the </w:t>
      </w:r>
      <w:r>
        <w:rPr>
          <w:rFonts w:hint="default" w:eastAsia="宋体"/>
          <w:b w:val="0"/>
          <w:bCs w:val="0"/>
          <w:sz w:val="20"/>
          <w:szCs w:val="20"/>
          <w:lang w:val="en-US" w:eastAsia="zh-CN"/>
        </w:rPr>
        <w:t xml:space="preserve">CPA/CPC configuration </w:t>
      </w:r>
      <w:r>
        <w:rPr>
          <w:rFonts w:hint="default" w:eastAsia="等线"/>
          <w:lang w:val="en-US" w:eastAsia="zh-CN"/>
        </w:rPr>
        <w:t>the MN has unnecessary coordination with each candidate SN(s) to allocate resources for the UE.</w:t>
      </w:r>
    </w:p>
    <w:p>
      <w:pPr>
        <w:numPr>
          <w:ilvl w:val="0"/>
          <w:numId w:val="0"/>
        </w:numPr>
        <w:spacing w:after="180"/>
        <w:jc w:val="both"/>
        <w:rPr>
          <w:rFonts w:hint="default" w:eastAsia="宋体"/>
          <w:b/>
          <w:bCs/>
          <w:sz w:val="20"/>
          <w:szCs w:val="20"/>
          <w:lang w:val="en-US" w:eastAsia="zh-CN"/>
        </w:rPr>
      </w:pPr>
      <w:bookmarkStart w:id="9" w:name="OLE_LINK4"/>
      <w:r>
        <w:rPr>
          <w:rFonts w:hint="eastAsia" w:eastAsia="宋体"/>
          <w:b/>
          <w:sz w:val="20"/>
          <w:szCs w:val="20"/>
          <w:lang w:eastAsia="zh-CN"/>
        </w:rPr>
        <w:t>P</w:t>
      </w:r>
      <w:r>
        <w:rPr>
          <w:rFonts w:hint="eastAsia" w:eastAsia="宋体"/>
          <w:b/>
          <w:bCs/>
          <w:sz w:val="20"/>
          <w:szCs w:val="20"/>
          <w:lang w:val="en-US" w:eastAsia="zh-CN"/>
        </w:rPr>
        <w:t xml:space="preserve">roposal </w:t>
      </w:r>
      <w:r>
        <w:rPr>
          <w:rFonts w:hint="default" w:eastAsia="宋体"/>
          <w:b/>
          <w:bCs/>
          <w:sz w:val="20"/>
          <w:szCs w:val="20"/>
          <w:lang w:val="en-US" w:eastAsia="zh-CN"/>
        </w:rPr>
        <w:t>2</w:t>
      </w:r>
      <w:r>
        <w:rPr>
          <w:rFonts w:hint="eastAsia" w:eastAsia="宋体"/>
          <w:b/>
          <w:bCs/>
          <w:sz w:val="20"/>
          <w:szCs w:val="20"/>
          <w:lang w:val="en-US" w:eastAsia="zh-CN"/>
        </w:rPr>
        <w:t xml:space="preserve">: </w:t>
      </w:r>
      <w:bookmarkEnd w:id="9"/>
      <w:r>
        <w:rPr>
          <w:rFonts w:hint="default" w:eastAsia="宋体"/>
          <w:b/>
          <w:bCs/>
          <w:sz w:val="20"/>
          <w:szCs w:val="20"/>
          <w:lang w:val="en-US" w:eastAsia="zh-CN"/>
        </w:rPr>
        <w:t xml:space="preserve">The </w:t>
      </w:r>
      <w:r>
        <w:rPr>
          <w:rFonts w:hint="eastAsia" w:eastAsia="宋体"/>
          <w:b/>
          <w:bCs/>
          <w:sz w:val="20"/>
          <w:szCs w:val="20"/>
          <w:lang w:val="en-US" w:eastAsia="zh-CN"/>
        </w:rPr>
        <w:t>case that there is a MCG RLF before CPA/CPC execution</w:t>
      </w:r>
      <w:r>
        <w:rPr>
          <w:rFonts w:hint="default" w:eastAsia="宋体"/>
          <w:b/>
          <w:bCs/>
          <w:sz w:val="20"/>
          <w:szCs w:val="20"/>
          <w:lang w:val="en-US" w:eastAsia="zh-CN"/>
        </w:rPr>
        <w:t xml:space="preserve"> is considered for </w:t>
      </w:r>
      <w:r>
        <w:rPr>
          <w:rFonts w:hint="eastAsia" w:eastAsia="宋体"/>
          <w:b/>
          <w:bCs/>
          <w:sz w:val="20"/>
          <w:szCs w:val="20"/>
          <w:lang w:val="en-US" w:eastAsia="zh-CN"/>
        </w:rPr>
        <w:t>MRO for CPC</w:t>
      </w:r>
      <w:r>
        <w:rPr>
          <w:rFonts w:hint="default" w:eastAsia="宋体"/>
          <w:b/>
          <w:bCs/>
          <w:sz w:val="20"/>
          <w:szCs w:val="20"/>
          <w:lang w:val="en-US" w:eastAsia="zh-CN"/>
        </w:rPr>
        <w:t xml:space="preserve"> and CPA.</w:t>
      </w:r>
    </w:p>
    <w:p>
      <w:pPr>
        <w:numPr>
          <w:ilvl w:val="0"/>
          <w:numId w:val="0"/>
        </w:numPr>
        <w:spacing w:after="180"/>
        <w:jc w:val="both"/>
        <w:rPr>
          <w:rFonts w:hint="default" w:eastAsia="宋体"/>
          <w:b w:val="0"/>
          <w:bCs w:val="0"/>
          <w:sz w:val="20"/>
          <w:szCs w:val="20"/>
          <w:lang w:val="en-US" w:eastAsia="zh-CN"/>
        </w:rPr>
      </w:pPr>
      <w:r>
        <w:rPr>
          <w:rFonts w:hint="default" w:eastAsia="宋体"/>
          <w:b w:val="0"/>
          <w:bCs w:val="0"/>
          <w:sz w:val="20"/>
          <w:szCs w:val="20"/>
          <w:lang w:val="en-US" w:eastAsia="zh-CN"/>
        </w:rPr>
        <w:t xml:space="preserve">In the case that there is a MCG RLF before </w:t>
      </w:r>
      <w:bookmarkStart w:id="10" w:name="OLE_LINK8"/>
      <w:r>
        <w:rPr>
          <w:rFonts w:hint="default" w:eastAsia="宋体"/>
          <w:b w:val="0"/>
          <w:bCs w:val="0"/>
          <w:sz w:val="20"/>
          <w:szCs w:val="20"/>
          <w:lang w:val="en-US" w:eastAsia="zh-CN"/>
        </w:rPr>
        <w:t>CPA/CPC</w:t>
      </w:r>
      <w:bookmarkEnd w:id="10"/>
      <w:r>
        <w:rPr>
          <w:rFonts w:hint="default" w:eastAsia="宋体"/>
          <w:b w:val="0"/>
          <w:bCs w:val="0"/>
          <w:sz w:val="20"/>
          <w:szCs w:val="20"/>
          <w:lang w:val="en-US" w:eastAsia="zh-CN"/>
        </w:rPr>
        <w:t xml:space="preserve"> execution, we think the </w:t>
      </w:r>
      <w:bookmarkStart w:id="11" w:name="OLE_LINK9"/>
      <w:r>
        <w:rPr>
          <w:rFonts w:hint="default" w:eastAsia="宋体"/>
          <w:b w:val="0"/>
          <w:bCs w:val="0"/>
          <w:sz w:val="20"/>
          <w:szCs w:val="20"/>
          <w:lang w:val="en-US" w:eastAsia="zh-CN"/>
        </w:rPr>
        <w:t>information of the CPA/CPC event trigger condition</w:t>
      </w:r>
      <w:bookmarkEnd w:id="11"/>
      <w:r>
        <w:rPr>
          <w:rFonts w:hint="default"/>
          <w:lang w:val="en-US"/>
        </w:rPr>
        <w:t xml:space="preserve"> reported by UE is helpful for network to optimize </w:t>
      </w:r>
      <w:r>
        <w:rPr>
          <w:rFonts w:hint="default" w:eastAsia="宋体"/>
          <w:b w:val="0"/>
          <w:bCs w:val="0"/>
          <w:sz w:val="20"/>
          <w:szCs w:val="20"/>
          <w:lang w:val="en-US" w:eastAsia="zh-CN"/>
        </w:rPr>
        <w:t>CPA/CPC</w:t>
      </w:r>
      <w:r>
        <w:rPr>
          <w:rFonts w:hint="default" w:eastAsia="等线"/>
          <w:lang w:val="en-US" w:eastAsia="zh-CN"/>
        </w:rPr>
        <w:t xml:space="preserve"> configuration or to </w:t>
      </w:r>
      <w:r>
        <w:rPr>
          <w:rFonts w:hint="default"/>
          <w:lang w:val="en-US"/>
        </w:rPr>
        <w:t xml:space="preserve">decide whether there is need to configure </w:t>
      </w:r>
      <w:r>
        <w:rPr>
          <w:rFonts w:hint="default" w:eastAsia="宋体"/>
          <w:b w:val="0"/>
          <w:bCs w:val="0"/>
          <w:sz w:val="20"/>
          <w:szCs w:val="20"/>
          <w:lang w:val="en-US" w:eastAsia="zh-CN"/>
        </w:rPr>
        <w:t>CPA/CPC to UE. Since UE generates RLF report when MCG RLF occurs, the enhancements on RLF report is needed for the case that there is a MCG RLF before CPA/CPC execution.</w:t>
      </w:r>
    </w:p>
    <w:p>
      <w:pPr>
        <w:numPr>
          <w:ilvl w:val="0"/>
          <w:numId w:val="0"/>
        </w:numPr>
        <w:spacing w:after="180"/>
        <w:jc w:val="both"/>
        <w:rPr>
          <w:rFonts w:hint="eastAsia"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 xml:space="preserve">roposal </w:t>
      </w:r>
      <w:r>
        <w:rPr>
          <w:rFonts w:hint="default" w:eastAsia="宋体"/>
          <w:b/>
          <w:bCs/>
          <w:sz w:val="20"/>
          <w:szCs w:val="20"/>
          <w:lang w:val="en-US" w:eastAsia="zh-CN"/>
        </w:rPr>
        <w:t>3</w:t>
      </w:r>
      <w:r>
        <w:rPr>
          <w:rFonts w:hint="eastAsia" w:eastAsia="宋体"/>
          <w:b/>
          <w:bCs/>
          <w:sz w:val="20"/>
          <w:szCs w:val="20"/>
          <w:lang w:val="en-US" w:eastAsia="zh-CN"/>
        </w:rPr>
        <w:t xml:space="preserve">: </w:t>
      </w:r>
      <w:r>
        <w:rPr>
          <w:rFonts w:hint="default" w:eastAsia="宋体"/>
          <w:b/>
          <w:bCs/>
          <w:sz w:val="20"/>
          <w:szCs w:val="20"/>
          <w:lang w:val="en-US" w:eastAsia="zh-CN"/>
        </w:rPr>
        <w:t>T</w:t>
      </w:r>
      <w:r>
        <w:rPr>
          <w:rFonts w:hint="eastAsia" w:eastAsia="宋体"/>
          <w:b/>
          <w:bCs/>
          <w:sz w:val="20"/>
          <w:szCs w:val="20"/>
          <w:lang w:val="en-US" w:eastAsia="zh-CN"/>
        </w:rPr>
        <w:t>he enhancements on RLF report is needed for the case that there is a MCG RLF before CPA/CPC execution</w:t>
      </w:r>
      <w:r>
        <w:rPr>
          <w:rFonts w:hint="default" w:eastAsia="宋体"/>
          <w:b/>
          <w:bCs/>
          <w:sz w:val="20"/>
          <w:szCs w:val="20"/>
          <w:lang w:val="en-US" w:eastAsia="zh-CN"/>
        </w:rPr>
        <w:t>.</w:t>
      </w:r>
    </w:p>
    <w:p>
      <w:pPr>
        <w:numPr>
          <w:ilvl w:val="0"/>
          <w:numId w:val="0"/>
        </w:numPr>
        <w:spacing w:after="180"/>
        <w:jc w:val="both"/>
        <w:rPr>
          <w:rFonts w:hint="default" w:eastAsia="宋体"/>
          <w:b/>
          <w:bCs/>
          <w:sz w:val="20"/>
          <w:szCs w:val="20"/>
          <w:lang w:val="en-US" w:eastAsia="zh-CN"/>
        </w:rPr>
      </w:pPr>
      <w:bookmarkStart w:id="12" w:name="OLE_LINK11"/>
      <w:r>
        <w:rPr>
          <w:rFonts w:hint="eastAsia" w:eastAsia="宋体"/>
          <w:b/>
          <w:sz w:val="20"/>
          <w:szCs w:val="20"/>
          <w:lang w:eastAsia="zh-CN"/>
        </w:rPr>
        <w:t>P</w:t>
      </w:r>
      <w:r>
        <w:rPr>
          <w:rFonts w:hint="eastAsia" w:eastAsia="宋体"/>
          <w:b/>
          <w:bCs/>
          <w:sz w:val="20"/>
          <w:szCs w:val="20"/>
          <w:lang w:val="en-US" w:eastAsia="zh-CN"/>
        </w:rPr>
        <w:t xml:space="preserve">roposal </w:t>
      </w:r>
      <w:r>
        <w:rPr>
          <w:rFonts w:hint="default" w:eastAsia="宋体"/>
          <w:b/>
          <w:bCs/>
          <w:sz w:val="20"/>
          <w:szCs w:val="20"/>
          <w:lang w:val="en-US" w:eastAsia="zh-CN"/>
        </w:rPr>
        <w:t>4</w:t>
      </w:r>
      <w:r>
        <w:rPr>
          <w:rFonts w:hint="eastAsia" w:eastAsia="宋体"/>
          <w:b/>
          <w:bCs/>
          <w:sz w:val="20"/>
          <w:szCs w:val="20"/>
          <w:lang w:val="en-US" w:eastAsia="zh-CN"/>
        </w:rPr>
        <w:t xml:space="preserve">: </w:t>
      </w:r>
      <w:r>
        <w:rPr>
          <w:rFonts w:hint="default" w:eastAsia="宋体"/>
          <w:b/>
          <w:bCs/>
          <w:sz w:val="20"/>
          <w:szCs w:val="20"/>
          <w:lang w:val="en-US" w:eastAsia="zh-CN"/>
        </w:rPr>
        <w:t xml:space="preserve">In </w:t>
      </w:r>
      <w:r>
        <w:rPr>
          <w:rFonts w:hint="eastAsia" w:eastAsia="宋体"/>
          <w:b/>
          <w:bCs/>
          <w:sz w:val="20"/>
          <w:szCs w:val="20"/>
          <w:lang w:val="en-US" w:eastAsia="zh-CN"/>
        </w:rPr>
        <w:t>the case that there is a MCG RLF before CPA/CPC execution</w:t>
      </w:r>
      <w:r>
        <w:rPr>
          <w:rFonts w:hint="default" w:eastAsia="宋体"/>
          <w:b/>
          <w:bCs/>
          <w:sz w:val="20"/>
          <w:szCs w:val="20"/>
          <w:lang w:val="en-US" w:eastAsia="zh-CN"/>
        </w:rPr>
        <w:t xml:space="preserve">, UE reports the information of the </w:t>
      </w:r>
      <w:bookmarkStart w:id="13" w:name="OLE_LINK10"/>
      <w:r>
        <w:rPr>
          <w:rFonts w:hint="default" w:eastAsia="宋体"/>
          <w:b/>
          <w:bCs/>
          <w:sz w:val="20"/>
          <w:szCs w:val="20"/>
          <w:lang w:val="en-US" w:eastAsia="zh-CN"/>
        </w:rPr>
        <w:t>CPA/CPC</w:t>
      </w:r>
      <w:bookmarkEnd w:id="13"/>
      <w:r>
        <w:rPr>
          <w:rFonts w:hint="default" w:eastAsia="宋体"/>
          <w:b/>
          <w:bCs/>
          <w:sz w:val="20"/>
          <w:szCs w:val="20"/>
          <w:lang w:val="en-US" w:eastAsia="zh-CN"/>
        </w:rPr>
        <w:t xml:space="preserve"> event trigger condition, e.g. no configured CPA/CPC event triggered, and only one of the CPA/CPC events triggered when there are multiple events configured for CPA/CPC in </w:t>
      </w:r>
      <w:r>
        <w:rPr>
          <w:rFonts w:hint="eastAsia" w:eastAsia="宋体"/>
          <w:b/>
          <w:bCs/>
          <w:sz w:val="20"/>
          <w:szCs w:val="20"/>
          <w:lang w:val="en-US" w:eastAsia="zh-CN"/>
        </w:rPr>
        <w:t>RLF report</w:t>
      </w:r>
      <w:r>
        <w:rPr>
          <w:rFonts w:hint="default" w:eastAsia="宋体"/>
          <w:b/>
          <w:bCs/>
          <w:sz w:val="20"/>
          <w:szCs w:val="20"/>
          <w:lang w:val="en-US" w:eastAsia="zh-CN"/>
        </w:rPr>
        <w:t>.</w:t>
      </w:r>
    </w:p>
    <w:bookmarkEnd w:id="12"/>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pPr>
        <w:rPr>
          <w:rFonts w:eastAsia="宋体"/>
          <w:lang w:eastAsia="zh-CN"/>
        </w:rPr>
      </w:pPr>
      <w:r>
        <w:rPr>
          <w:rFonts w:hint="eastAsia" w:eastAsia="宋体"/>
          <w:lang w:eastAsia="zh-CN"/>
        </w:rPr>
        <w:t>I</w:t>
      </w:r>
      <w:r>
        <w:rPr>
          <w:rFonts w:eastAsia="宋体"/>
          <w:lang w:eastAsia="zh-CN"/>
        </w:rPr>
        <w:t xml:space="preserve">n this paper, </w:t>
      </w:r>
      <w:r>
        <w:rPr>
          <w:rFonts w:hint="eastAsia" w:eastAsia="宋体"/>
          <w:lang w:eastAsia="zh-CN"/>
        </w:rPr>
        <w:t>w</w:t>
      </w:r>
      <w:r>
        <w:rPr>
          <w:rFonts w:eastAsia="宋体"/>
          <w:lang w:eastAsia="zh-CN"/>
        </w:rPr>
        <w:t xml:space="preserve">e discuss </w:t>
      </w:r>
      <w:r>
        <w:rPr>
          <w:rFonts w:hint="default" w:eastAsia="宋体"/>
          <w:lang w:val="en-US" w:eastAsia="zh-CN"/>
        </w:rPr>
        <w:t>on MRO for CPC and CPA</w:t>
      </w:r>
      <w:r>
        <w:rPr>
          <w:rFonts w:eastAsia="宋体"/>
          <w:lang w:eastAsia="zh-CN"/>
        </w:rPr>
        <w:t>, and we have the following proposals:</w:t>
      </w:r>
    </w:p>
    <w:p>
      <w:pPr>
        <w:jc w:val="both"/>
        <w:rPr>
          <w:rFonts w:hint="default"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roposal 1: For MRO for CPC</w:t>
      </w:r>
      <w:r>
        <w:rPr>
          <w:rFonts w:hint="default" w:eastAsia="宋体"/>
          <w:b/>
          <w:bCs/>
          <w:sz w:val="20"/>
          <w:szCs w:val="20"/>
          <w:lang w:val="en-US" w:eastAsia="zh-CN"/>
        </w:rPr>
        <w:t xml:space="preserve">, if there is a SCG failure before CPC execution, the UE reports the following information in the </w:t>
      </w:r>
      <w:r>
        <w:rPr>
          <w:rFonts w:hint="default" w:eastAsia="宋体"/>
          <w:b/>
          <w:bCs/>
          <w:i/>
          <w:iCs/>
          <w:sz w:val="20"/>
          <w:szCs w:val="20"/>
          <w:lang w:val="en-US" w:eastAsia="zh-CN"/>
        </w:rPr>
        <w:t>SCGFailureInformation</w:t>
      </w:r>
      <w:r>
        <w:rPr>
          <w:rFonts w:hint="default" w:eastAsia="宋体"/>
          <w:b/>
          <w:bCs/>
          <w:sz w:val="20"/>
          <w:szCs w:val="20"/>
          <w:lang w:val="en-US" w:eastAsia="zh-CN"/>
        </w:rPr>
        <w:t xml:space="preserve"> message</w:t>
      </w:r>
    </w:p>
    <w:p>
      <w:pPr>
        <w:numPr>
          <w:ilvl w:val="0"/>
          <w:numId w:val="4"/>
        </w:numPr>
        <w:ind w:left="420" w:leftChars="0" w:hanging="420" w:firstLineChars="0"/>
        <w:jc w:val="both"/>
        <w:rPr>
          <w:rFonts w:hint="default" w:eastAsia="宋体"/>
          <w:b/>
          <w:bCs/>
          <w:sz w:val="20"/>
          <w:szCs w:val="20"/>
          <w:lang w:val="en-US" w:eastAsia="zh-CN"/>
        </w:rPr>
      </w:pPr>
      <w:r>
        <w:rPr>
          <w:rFonts w:hint="default" w:eastAsia="宋体"/>
          <w:b/>
          <w:bCs/>
          <w:sz w:val="20"/>
          <w:szCs w:val="20"/>
          <w:lang w:val="en-US" w:eastAsia="zh-CN"/>
        </w:rPr>
        <w:t>The time elapsed between the SCG failure in source SCG and the latest CPC configuration is received.</w:t>
      </w:r>
    </w:p>
    <w:p>
      <w:pPr>
        <w:numPr>
          <w:ilvl w:val="0"/>
          <w:numId w:val="4"/>
        </w:numPr>
        <w:ind w:left="420" w:leftChars="0" w:hanging="420" w:firstLineChars="0"/>
        <w:jc w:val="both"/>
        <w:rPr>
          <w:rFonts w:hint="default" w:ascii="Times New Roman" w:hAnsi="Times New Roman" w:eastAsia="宋体" w:cs="Times New Roman"/>
          <w:b/>
          <w:bCs/>
          <w:sz w:val="20"/>
          <w:szCs w:val="20"/>
          <w:lang w:val="en-US" w:eastAsia="zh-CN"/>
        </w:rPr>
      </w:pPr>
      <w:r>
        <w:rPr>
          <w:rFonts w:hint="default" w:eastAsia="宋体"/>
          <w:b/>
          <w:bCs/>
          <w:sz w:val="20"/>
          <w:szCs w:val="20"/>
          <w:lang w:val="en-US" w:eastAsia="zh-CN"/>
        </w:rPr>
        <w:t>The information of the CPC event trigger condition, e.g. no configured CPC event triggered, and only one of the CPC events triggered when there are multiple events configured for CPC. The detail can follow the agreement that the UE reports the first triggered CPAC event for MRO for CPC and CPA achieved in RAN3#119.</w:t>
      </w:r>
    </w:p>
    <w:p>
      <w:pPr>
        <w:numPr>
          <w:ilvl w:val="0"/>
          <w:numId w:val="0"/>
        </w:numPr>
        <w:spacing w:after="180"/>
        <w:jc w:val="both"/>
        <w:rPr>
          <w:rFonts w:hint="default"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 xml:space="preserve">roposal </w:t>
      </w:r>
      <w:r>
        <w:rPr>
          <w:rFonts w:hint="default" w:eastAsia="宋体"/>
          <w:b/>
          <w:bCs/>
          <w:sz w:val="20"/>
          <w:szCs w:val="20"/>
          <w:lang w:val="en-US" w:eastAsia="zh-CN"/>
        </w:rPr>
        <w:t>2</w:t>
      </w:r>
      <w:r>
        <w:rPr>
          <w:rFonts w:hint="eastAsia" w:eastAsia="宋体"/>
          <w:b/>
          <w:bCs/>
          <w:sz w:val="20"/>
          <w:szCs w:val="20"/>
          <w:lang w:val="en-US" w:eastAsia="zh-CN"/>
        </w:rPr>
        <w:t xml:space="preserve">: </w:t>
      </w:r>
      <w:r>
        <w:rPr>
          <w:rFonts w:hint="default" w:eastAsia="宋体"/>
          <w:b/>
          <w:bCs/>
          <w:sz w:val="20"/>
          <w:szCs w:val="20"/>
          <w:lang w:val="en-US" w:eastAsia="zh-CN"/>
        </w:rPr>
        <w:t xml:space="preserve">The </w:t>
      </w:r>
      <w:r>
        <w:rPr>
          <w:rFonts w:hint="eastAsia" w:eastAsia="宋体"/>
          <w:b/>
          <w:bCs/>
          <w:sz w:val="20"/>
          <w:szCs w:val="20"/>
          <w:lang w:val="en-US" w:eastAsia="zh-CN"/>
        </w:rPr>
        <w:t>case that there is a MCG RLF before CPA/CPC execution</w:t>
      </w:r>
      <w:r>
        <w:rPr>
          <w:rFonts w:hint="default" w:eastAsia="宋体"/>
          <w:b/>
          <w:bCs/>
          <w:sz w:val="20"/>
          <w:szCs w:val="20"/>
          <w:lang w:val="en-US" w:eastAsia="zh-CN"/>
        </w:rPr>
        <w:t xml:space="preserve"> is considered for </w:t>
      </w:r>
      <w:r>
        <w:rPr>
          <w:rFonts w:hint="eastAsia" w:eastAsia="宋体"/>
          <w:b/>
          <w:bCs/>
          <w:sz w:val="20"/>
          <w:szCs w:val="20"/>
          <w:lang w:val="en-US" w:eastAsia="zh-CN"/>
        </w:rPr>
        <w:t>MRO for CPC</w:t>
      </w:r>
      <w:r>
        <w:rPr>
          <w:rFonts w:hint="default" w:eastAsia="宋体"/>
          <w:b/>
          <w:bCs/>
          <w:sz w:val="20"/>
          <w:szCs w:val="20"/>
          <w:lang w:val="en-US" w:eastAsia="zh-CN"/>
        </w:rPr>
        <w:t xml:space="preserve"> and CPA.</w:t>
      </w:r>
    </w:p>
    <w:p>
      <w:pPr>
        <w:numPr>
          <w:ilvl w:val="0"/>
          <w:numId w:val="0"/>
        </w:numPr>
        <w:spacing w:after="180"/>
        <w:jc w:val="both"/>
        <w:rPr>
          <w:rFonts w:hint="eastAsia"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 xml:space="preserve">roposal </w:t>
      </w:r>
      <w:r>
        <w:rPr>
          <w:rFonts w:hint="default" w:eastAsia="宋体"/>
          <w:b/>
          <w:bCs/>
          <w:sz w:val="20"/>
          <w:szCs w:val="20"/>
          <w:lang w:val="en-US" w:eastAsia="zh-CN"/>
        </w:rPr>
        <w:t>3</w:t>
      </w:r>
      <w:r>
        <w:rPr>
          <w:rFonts w:hint="eastAsia" w:eastAsia="宋体"/>
          <w:b/>
          <w:bCs/>
          <w:sz w:val="20"/>
          <w:szCs w:val="20"/>
          <w:lang w:val="en-US" w:eastAsia="zh-CN"/>
        </w:rPr>
        <w:t xml:space="preserve">: </w:t>
      </w:r>
      <w:r>
        <w:rPr>
          <w:rFonts w:hint="default" w:eastAsia="宋体"/>
          <w:b/>
          <w:bCs/>
          <w:sz w:val="20"/>
          <w:szCs w:val="20"/>
          <w:lang w:val="en-US" w:eastAsia="zh-CN"/>
        </w:rPr>
        <w:t>T</w:t>
      </w:r>
      <w:r>
        <w:rPr>
          <w:rFonts w:hint="eastAsia" w:eastAsia="宋体"/>
          <w:b/>
          <w:bCs/>
          <w:sz w:val="20"/>
          <w:szCs w:val="20"/>
          <w:lang w:val="en-US" w:eastAsia="zh-CN"/>
        </w:rPr>
        <w:t>he enhancements on RLF report is needed for the case that there is a MCG RLF before CPA/CPC execution</w:t>
      </w:r>
      <w:r>
        <w:rPr>
          <w:rFonts w:hint="default" w:eastAsia="宋体"/>
          <w:b/>
          <w:bCs/>
          <w:sz w:val="20"/>
          <w:szCs w:val="20"/>
          <w:lang w:val="en-US" w:eastAsia="zh-CN"/>
        </w:rPr>
        <w:t>.</w:t>
      </w:r>
    </w:p>
    <w:p>
      <w:pPr>
        <w:numPr>
          <w:ilvl w:val="0"/>
          <w:numId w:val="0"/>
        </w:numPr>
        <w:spacing w:after="180"/>
        <w:ind w:leftChars="0"/>
        <w:jc w:val="both"/>
        <w:rPr>
          <w:rFonts w:hint="default" w:eastAsia="宋体"/>
          <w:b/>
          <w:bCs/>
          <w:sz w:val="20"/>
          <w:szCs w:val="20"/>
          <w:lang w:val="en-US" w:eastAsia="zh-CN"/>
        </w:rPr>
      </w:pPr>
      <w:r>
        <w:rPr>
          <w:rFonts w:hint="eastAsia" w:eastAsia="宋体"/>
          <w:b/>
          <w:sz w:val="20"/>
          <w:szCs w:val="20"/>
          <w:lang w:eastAsia="zh-CN"/>
        </w:rPr>
        <w:t>P</w:t>
      </w:r>
      <w:r>
        <w:rPr>
          <w:rFonts w:hint="eastAsia" w:eastAsia="宋体"/>
          <w:b/>
          <w:bCs/>
          <w:sz w:val="20"/>
          <w:szCs w:val="20"/>
          <w:lang w:val="en-US" w:eastAsia="zh-CN"/>
        </w:rPr>
        <w:t xml:space="preserve">roposal </w:t>
      </w:r>
      <w:r>
        <w:rPr>
          <w:rFonts w:hint="default" w:eastAsia="宋体"/>
          <w:b/>
          <w:bCs/>
          <w:sz w:val="20"/>
          <w:szCs w:val="20"/>
          <w:lang w:val="en-US" w:eastAsia="zh-CN"/>
        </w:rPr>
        <w:t>4</w:t>
      </w:r>
      <w:r>
        <w:rPr>
          <w:rFonts w:hint="eastAsia" w:eastAsia="宋体"/>
          <w:b/>
          <w:bCs/>
          <w:sz w:val="20"/>
          <w:szCs w:val="20"/>
          <w:lang w:val="en-US" w:eastAsia="zh-CN"/>
        </w:rPr>
        <w:t xml:space="preserve">: </w:t>
      </w:r>
      <w:r>
        <w:rPr>
          <w:rFonts w:hint="default" w:eastAsia="宋体"/>
          <w:b/>
          <w:bCs/>
          <w:sz w:val="20"/>
          <w:szCs w:val="20"/>
          <w:lang w:val="en-US" w:eastAsia="zh-CN"/>
        </w:rPr>
        <w:t xml:space="preserve">In </w:t>
      </w:r>
      <w:r>
        <w:rPr>
          <w:rFonts w:hint="eastAsia" w:eastAsia="宋体"/>
          <w:b/>
          <w:bCs/>
          <w:sz w:val="20"/>
          <w:szCs w:val="20"/>
          <w:lang w:val="en-US" w:eastAsia="zh-CN"/>
        </w:rPr>
        <w:t>the case that there is a MCG RLF before CPA/CPC execution</w:t>
      </w:r>
      <w:r>
        <w:rPr>
          <w:rFonts w:hint="default" w:eastAsia="宋体"/>
          <w:b/>
          <w:bCs/>
          <w:sz w:val="20"/>
          <w:szCs w:val="20"/>
          <w:lang w:val="en-US" w:eastAsia="zh-CN"/>
        </w:rPr>
        <w:t xml:space="preserve">, UE reports the information of the CPA/CPC event trigger condition, e.g. no configured CPA/CPC event triggered, and only one of the CPA/CPC events triggered when there are multiple events configured for CPA/CPC in </w:t>
      </w:r>
      <w:r>
        <w:rPr>
          <w:rFonts w:hint="eastAsia" w:eastAsia="宋体"/>
          <w:b/>
          <w:bCs/>
          <w:sz w:val="20"/>
          <w:szCs w:val="20"/>
          <w:lang w:val="en-US" w:eastAsia="zh-CN"/>
        </w:rPr>
        <w:t>RLF report</w:t>
      </w:r>
      <w:r>
        <w:rPr>
          <w:rFonts w:hint="default" w:eastAsia="宋体"/>
          <w:b/>
          <w:bCs/>
          <w:sz w:val="20"/>
          <w:szCs w:val="20"/>
          <w:lang w:val="en-US" w:eastAsia="zh-CN"/>
        </w:rPr>
        <w:t>.</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Reference</w:t>
      </w:r>
    </w:p>
    <w:p>
      <w:pPr>
        <w:numPr>
          <w:ilvl w:val="0"/>
          <w:numId w:val="5"/>
        </w:numPr>
        <w:spacing w:before="100" w:beforeAutospacing="1" w:after="100" w:afterAutospacing="1"/>
        <w:jc w:val="both"/>
        <w:rPr>
          <w:rFonts w:eastAsia="等线"/>
          <w:lang w:eastAsia="zh-CN"/>
        </w:rPr>
      </w:pPr>
      <w:r>
        <w:rPr>
          <w:rFonts w:eastAsiaTheme="minorEastAsia"/>
          <w:lang w:val="en-US" w:eastAsia="zh-CN"/>
        </w:rPr>
        <w:t>Chairman notes for RAN3#11</w:t>
      </w:r>
      <w:r>
        <w:rPr>
          <w:rFonts w:hint="default"/>
          <w:lang w:val="en-US" w:eastAsia="zh-CN"/>
        </w:rPr>
        <w:t>9</w:t>
      </w:r>
      <w:r>
        <w:rPr>
          <w:rFonts w:eastAsiaTheme="minorEastAsia"/>
          <w:lang w:val="en-US" w:eastAsia="zh-CN"/>
        </w:rPr>
        <w:t xml:space="preserve"> meeting</w:t>
      </w:r>
      <w:r>
        <w:rPr>
          <w:rFonts w:hint="default"/>
          <w:lang w:val="en-US" w:eastAsia="zh-CN"/>
        </w:rPr>
        <w:t xml:space="preserve">, </w:t>
      </w:r>
      <w:r>
        <w:rPr>
          <w:rFonts w:hint="default"/>
          <w:lang w:val="en-US"/>
        </w:rPr>
        <w:t xml:space="preserve">March </w:t>
      </w:r>
      <w:r>
        <w:t>202</w:t>
      </w:r>
      <w:r>
        <w:rPr>
          <w:rFonts w:hint="default"/>
          <w:lang w:val="en-US"/>
        </w:rPr>
        <w:t>3</w:t>
      </w:r>
    </w:p>
    <w:p>
      <w:pPr>
        <w:numPr>
          <w:ilvl w:val="0"/>
          <w:numId w:val="5"/>
        </w:numPr>
        <w:spacing w:before="100" w:beforeAutospacing="1" w:after="100" w:afterAutospacing="1"/>
        <w:jc w:val="both"/>
        <w:rPr>
          <w:rFonts w:eastAsia="等线"/>
          <w:sz w:val="22"/>
          <w:szCs w:val="22"/>
          <w:lang w:val="en-US" w:eastAsia="zh-CN"/>
        </w:rPr>
      </w:pPr>
      <w:r>
        <w:rPr>
          <w:rFonts w:eastAsiaTheme="minorEastAsia"/>
          <w:lang w:val="en-US" w:eastAsia="zh-CN"/>
        </w:rPr>
        <w:t>Chairman notes for RAN3#11</w:t>
      </w:r>
      <w:r>
        <w:rPr>
          <w:rFonts w:hint="default"/>
          <w:lang w:val="en-US" w:eastAsia="zh-CN"/>
        </w:rPr>
        <w:t>7bis-e</w:t>
      </w:r>
      <w:r>
        <w:rPr>
          <w:rFonts w:eastAsiaTheme="minorEastAsia"/>
          <w:lang w:val="en-US" w:eastAsia="zh-CN"/>
        </w:rPr>
        <w:t xml:space="preserve"> meeting</w:t>
      </w:r>
      <w:r>
        <w:rPr>
          <w:rFonts w:hint="default"/>
          <w:lang w:val="en-US" w:eastAsia="zh-CN"/>
        </w:rPr>
        <w:t xml:space="preserve">, </w:t>
      </w:r>
      <w:r>
        <w:rPr>
          <w:rFonts w:hint="default"/>
          <w:lang w:val="en-US"/>
        </w:rPr>
        <w:t xml:space="preserve">October </w:t>
      </w:r>
      <w:r>
        <w:t>202</w:t>
      </w:r>
      <w:r>
        <w:rPr>
          <w:rFonts w:hint="default"/>
          <w:lang w:val="en-US"/>
        </w:rPr>
        <w:t>2</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DDFEE4"/>
    <w:multiLevelType w:val="singleLevel"/>
    <w:tmpl w:val="CEDDFEE4"/>
    <w:lvl w:ilvl="0" w:tentative="0">
      <w:start w:val="1"/>
      <w:numFmt w:val="decimal"/>
      <w:suff w:val="space"/>
      <w:lvlText w:val="[%1]"/>
      <w:lvlJc w:val="left"/>
    </w:lvl>
  </w:abstractNum>
  <w:abstractNum w:abstractNumId="1">
    <w:nsid w:val="D4648A14"/>
    <w:multiLevelType w:val="singleLevel"/>
    <w:tmpl w:val="D4648A14"/>
    <w:lvl w:ilvl="0" w:tentative="0">
      <w:start w:val="1"/>
      <w:numFmt w:val="bullet"/>
      <w:lvlText w:val=""/>
      <w:lvlJc w:val="left"/>
      <w:pPr>
        <w:ind w:left="420" w:hanging="420"/>
      </w:pPr>
      <w:rPr>
        <w:rFonts w:hint="default" w:ascii="Wingdings" w:hAnsi="Wingdings"/>
      </w:rPr>
    </w:lvl>
  </w:abstractNum>
  <w:abstractNum w:abstractNumId="2">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201E66"/>
    <w:rsid w:val="00202B3C"/>
    <w:rsid w:val="00202EA2"/>
    <w:rsid w:val="00205E2E"/>
    <w:rsid w:val="00206DEB"/>
    <w:rsid w:val="00207DEE"/>
    <w:rsid w:val="00210693"/>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1C97"/>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2C03CB"/>
    <w:rsid w:val="012E4B5C"/>
    <w:rsid w:val="01942413"/>
    <w:rsid w:val="01AC15F1"/>
    <w:rsid w:val="02704471"/>
    <w:rsid w:val="02790F37"/>
    <w:rsid w:val="035E3811"/>
    <w:rsid w:val="036B0C65"/>
    <w:rsid w:val="03867CA5"/>
    <w:rsid w:val="03C57746"/>
    <w:rsid w:val="05355ABB"/>
    <w:rsid w:val="05557E0E"/>
    <w:rsid w:val="05927F81"/>
    <w:rsid w:val="064D0255"/>
    <w:rsid w:val="07661D65"/>
    <w:rsid w:val="0818474A"/>
    <w:rsid w:val="0837269E"/>
    <w:rsid w:val="0A0C520F"/>
    <w:rsid w:val="0B724024"/>
    <w:rsid w:val="0BAF18E6"/>
    <w:rsid w:val="0C997D34"/>
    <w:rsid w:val="0CA44440"/>
    <w:rsid w:val="0CAF786F"/>
    <w:rsid w:val="0D094666"/>
    <w:rsid w:val="0DCF06E1"/>
    <w:rsid w:val="0E6D5AD4"/>
    <w:rsid w:val="0F401D69"/>
    <w:rsid w:val="0F867229"/>
    <w:rsid w:val="10B81DA0"/>
    <w:rsid w:val="11DD26FF"/>
    <w:rsid w:val="123A037F"/>
    <w:rsid w:val="12F7402C"/>
    <w:rsid w:val="144743F3"/>
    <w:rsid w:val="14A516F6"/>
    <w:rsid w:val="156B77E5"/>
    <w:rsid w:val="157907F0"/>
    <w:rsid w:val="157C1370"/>
    <w:rsid w:val="158F7278"/>
    <w:rsid w:val="166277A5"/>
    <w:rsid w:val="177A24CD"/>
    <w:rsid w:val="184F32E0"/>
    <w:rsid w:val="1A937072"/>
    <w:rsid w:val="1ABF4253"/>
    <w:rsid w:val="1AFF6C65"/>
    <w:rsid w:val="1C5E56D0"/>
    <w:rsid w:val="1C805058"/>
    <w:rsid w:val="1DFF11BD"/>
    <w:rsid w:val="1E2E5D3E"/>
    <w:rsid w:val="1EA46AFE"/>
    <w:rsid w:val="1F131D74"/>
    <w:rsid w:val="1F144B03"/>
    <w:rsid w:val="1F761349"/>
    <w:rsid w:val="1F767AE9"/>
    <w:rsid w:val="1FB7244F"/>
    <w:rsid w:val="20164CDC"/>
    <w:rsid w:val="2030053E"/>
    <w:rsid w:val="223F7016"/>
    <w:rsid w:val="22680492"/>
    <w:rsid w:val="22712CBD"/>
    <w:rsid w:val="22AF6734"/>
    <w:rsid w:val="23255AC3"/>
    <w:rsid w:val="24133A04"/>
    <w:rsid w:val="24144B7C"/>
    <w:rsid w:val="2447389C"/>
    <w:rsid w:val="24FD2055"/>
    <w:rsid w:val="254F273A"/>
    <w:rsid w:val="265961C6"/>
    <w:rsid w:val="269753C9"/>
    <w:rsid w:val="273E00AC"/>
    <w:rsid w:val="28092875"/>
    <w:rsid w:val="28AC4D81"/>
    <w:rsid w:val="28BF43A2"/>
    <w:rsid w:val="29524382"/>
    <w:rsid w:val="29566BEE"/>
    <w:rsid w:val="298A6120"/>
    <w:rsid w:val="29BE6095"/>
    <w:rsid w:val="2A3E2FD3"/>
    <w:rsid w:val="2ADE50EB"/>
    <w:rsid w:val="2AE71293"/>
    <w:rsid w:val="2B025DA2"/>
    <w:rsid w:val="2B8137FB"/>
    <w:rsid w:val="2B883015"/>
    <w:rsid w:val="2BBA442D"/>
    <w:rsid w:val="2C04684A"/>
    <w:rsid w:val="2C732E71"/>
    <w:rsid w:val="2CB901A7"/>
    <w:rsid w:val="2E231986"/>
    <w:rsid w:val="2EB06EFE"/>
    <w:rsid w:val="2EB911CF"/>
    <w:rsid w:val="2F404DFE"/>
    <w:rsid w:val="2F4E6143"/>
    <w:rsid w:val="2FDB4AFF"/>
    <w:rsid w:val="30293BB4"/>
    <w:rsid w:val="31353647"/>
    <w:rsid w:val="313A7594"/>
    <w:rsid w:val="32192E9B"/>
    <w:rsid w:val="33057035"/>
    <w:rsid w:val="33572E75"/>
    <w:rsid w:val="335D6F78"/>
    <w:rsid w:val="338B6ECA"/>
    <w:rsid w:val="3539003E"/>
    <w:rsid w:val="357048FB"/>
    <w:rsid w:val="35A717A5"/>
    <w:rsid w:val="361B2F76"/>
    <w:rsid w:val="368E4960"/>
    <w:rsid w:val="373E08C5"/>
    <w:rsid w:val="37F34E05"/>
    <w:rsid w:val="383E2485"/>
    <w:rsid w:val="38736E55"/>
    <w:rsid w:val="38B6179F"/>
    <w:rsid w:val="3929627B"/>
    <w:rsid w:val="396D37EA"/>
    <w:rsid w:val="39AC4411"/>
    <w:rsid w:val="39B46183"/>
    <w:rsid w:val="3A353B1E"/>
    <w:rsid w:val="3A890609"/>
    <w:rsid w:val="3BD52A3E"/>
    <w:rsid w:val="3C3E0C1F"/>
    <w:rsid w:val="3C9969FB"/>
    <w:rsid w:val="3CB06158"/>
    <w:rsid w:val="3DA74C56"/>
    <w:rsid w:val="3DB842E6"/>
    <w:rsid w:val="3F30054A"/>
    <w:rsid w:val="3F7533FB"/>
    <w:rsid w:val="401C0410"/>
    <w:rsid w:val="401D7C42"/>
    <w:rsid w:val="403A6FCC"/>
    <w:rsid w:val="40601E17"/>
    <w:rsid w:val="410B03A8"/>
    <w:rsid w:val="422C3807"/>
    <w:rsid w:val="42666F51"/>
    <w:rsid w:val="4283534E"/>
    <w:rsid w:val="43CE6C9D"/>
    <w:rsid w:val="44503515"/>
    <w:rsid w:val="445F08C3"/>
    <w:rsid w:val="44612C3D"/>
    <w:rsid w:val="447B5A8D"/>
    <w:rsid w:val="44A434F1"/>
    <w:rsid w:val="456E40CC"/>
    <w:rsid w:val="4592157A"/>
    <w:rsid w:val="473704ED"/>
    <w:rsid w:val="47EC1F81"/>
    <w:rsid w:val="4828694D"/>
    <w:rsid w:val="48916031"/>
    <w:rsid w:val="48A34543"/>
    <w:rsid w:val="49265874"/>
    <w:rsid w:val="4A2F21E8"/>
    <w:rsid w:val="4AA02C28"/>
    <w:rsid w:val="4AFE234B"/>
    <w:rsid w:val="4B020F8E"/>
    <w:rsid w:val="4C1261D2"/>
    <w:rsid w:val="4C785975"/>
    <w:rsid w:val="4D902D7D"/>
    <w:rsid w:val="4E567215"/>
    <w:rsid w:val="4ED36D05"/>
    <w:rsid w:val="4F371755"/>
    <w:rsid w:val="4F5462E0"/>
    <w:rsid w:val="4FCB416E"/>
    <w:rsid w:val="4FFC44D5"/>
    <w:rsid w:val="501A5689"/>
    <w:rsid w:val="51DF7052"/>
    <w:rsid w:val="520216BF"/>
    <w:rsid w:val="52AF0F9C"/>
    <w:rsid w:val="530D731A"/>
    <w:rsid w:val="538879B0"/>
    <w:rsid w:val="53931CDD"/>
    <w:rsid w:val="53FB653F"/>
    <w:rsid w:val="545E2D6E"/>
    <w:rsid w:val="54A907ED"/>
    <w:rsid w:val="55157E42"/>
    <w:rsid w:val="55CB0203"/>
    <w:rsid w:val="55FE5BF7"/>
    <w:rsid w:val="5648625A"/>
    <w:rsid w:val="57951CF7"/>
    <w:rsid w:val="57D21324"/>
    <w:rsid w:val="582D603D"/>
    <w:rsid w:val="584E3179"/>
    <w:rsid w:val="584E7DC4"/>
    <w:rsid w:val="586B5A78"/>
    <w:rsid w:val="59041FED"/>
    <w:rsid w:val="592C217D"/>
    <w:rsid w:val="59C27732"/>
    <w:rsid w:val="5A5E23E0"/>
    <w:rsid w:val="5A8B3F6C"/>
    <w:rsid w:val="5B5B45A0"/>
    <w:rsid w:val="5B836880"/>
    <w:rsid w:val="5C7868B4"/>
    <w:rsid w:val="5CDD27DF"/>
    <w:rsid w:val="5D622278"/>
    <w:rsid w:val="5E5C68FF"/>
    <w:rsid w:val="5EBE6E68"/>
    <w:rsid w:val="5F5466B2"/>
    <w:rsid w:val="5F673B63"/>
    <w:rsid w:val="5F732E23"/>
    <w:rsid w:val="602A0F69"/>
    <w:rsid w:val="61684000"/>
    <w:rsid w:val="62636CAC"/>
    <w:rsid w:val="62E017F7"/>
    <w:rsid w:val="62F21BBE"/>
    <w:rsid w:val="632D78C5"/>
    <w:rsid w:val="63B11A34"/>
    <w:rsid w:val="644B45E5"/>
    <w:rsid w:val="647822C2"/>
    <w:rsid w:val="64B9017D"/>
    <w:rsid w:val="6521239E"/>
    <w:rsid w:val="65652128"/>
    <w:rsid w:val="66D309BE"/>
    <w:rsid w:val="66FB7377"/>
    <w:rsid w:val="67880048"/>
    <w:rsid w:val="68E63296"/>
    <w:rsid w:val="6AB66D9B"/>
    <w:rsid w:val="6C0B020D"/>
    <w:rsid w:val="6C102200"/>
    <w:rsid w:val="6C724954"/>
    <w:rsid w:val="6D2429E8"/>
    <w:rsid w:val="6DEE6DFB"/>
    <w:rsid w:val="6EF848FE"/>
    <w:rsid w:val="6F511576"/>
    <w:rsid w:val="7117489B"/>
    <w:rsid w:val="713A3EFC"/>
    <w:rsid w:val="71655204"/>
    <w:rsid w:val="71DC1718"/>
    <w:rsid w:val="7275197E"/>
    <w:rsid w:val="74054790"/>
    <w:rsid w:val="741A7C07"/>
    <w:rsid w:val="753C3824"/>
    <w:rsid w:val="76526A3B"/>
    <w:rsid w:val="76686F83"/>
    <w:rsid w:val="76751351"/>
    <w:rsid w:val="78E10ABE"/>
    <w:rsid w:val="796E5614"/>
    <w:rsid w:val="79757B17"/>
    <w:rsid w:val="79CC0A22"/>
    <w:rsid w:val="79DA592C"/>
    <w:rsid w:val="79EC7D0F"/>
    <w:rsid w:val="7A355AE6"/>
    <w:rsid w:val="7A9D0462"/>
    <w:rsid w:val="7AD37E70"/>
    <w:rsid w:val="7B2F6679"/>
    <w:rsid w:val="7BEB3EFF"/>
    <w:rsid w:val="7C860A99"/>
    <w:rsid w:val="7CC42056"/>
    <w:rsid w:val="7DF15183"/>
    <w:rsid w:val="7EC12F7A"/>
    <w:rsid w:val="7F285DC4"/>
    <w:rsid w:val="7F30394B"/>
    <w:rsid w:val="7FC93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6"/>
    <w:qFormat/>
    <w:uiPriority w:val="0"/>
    <w:pPr>
      <w:spacing w:before="120"/>
      <w:outlineLvl w:val="2"/>
    </w:pPr>
    <w:rPr>
      <w:sz w:val="28"/>
    </w:rPr>
  </w:style>
  <w:style w:type="paragraph" w:styleId="5">
    <w:name w:val="heading 4"/>
    <w:basedOn w:val="4"/>
    <w:next w:val="1"/>
    <w:link w:val="137"/>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link w:val="150"/>
    <w:qFormat/>
    <w:uiPriority w:val="99"/>
    <w:pPr>
      <w:ind w:left="0" w:firstLine="0"/>
      <w:outlineLvl w:val="7"/>
    </w:pPr>
  </w:style>
  <w:style w:type="paragraph" w:styleId="11">
    <w:name w:val="heading 9"/>
    <w:basedOn w:val="10"/>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Document Map"/>
    <w:basedOn w:val="1"/>
    <w:link w:val="128"/>
    <w:qFormat/>
    <w:uiPriority w:val="99"/>
    <w:pPr>
      <w:shd w:val="clear" w:color="auto" w:fill="000080"/>
    </w:pPr>
    <w:rPr>
      <w:rFonts w:ascii="Tahoma" w:hAnsi="Tahoma" w:cs="Tahoma"/>
    </w:rPr>
  </w:style>
  <w:style w:type="paragraph" w:styleId="29">
    <w:name w:val="annotation text"/>
    <w:basedOn w:val="1"/>
    <w:link w:val="107"/>
    <w:qFormat/>
    <w:uiPriority w:val="99"/>
  </w:style>
  <w:style w:type="paragraph" w:styleId="30">
    <w:name w:val="Body Text"/>
    <w:basedOn w:val="1"/>
    <w:link w:val="119"/>
    <w:qFormat/>
    <w:uiPriority w:val="99"/>
    <w:pPr>
      <w:overflowPunct w:val="0"/>
      <w:autoSpaceDE w:val="0"/>
      <w:autoSpaceDN w:val="0"/>
      <w:adjustRightInd w:val="0"/>
      <w:textAlignment w:val="baseline"/>
    </w:pPr>
    <w:rPr>
      <w:lang w:val="zh-CN" w:eastAsia="en-GB"/>
    </w:rPr>
  </w:style>
  <w:style w:type="paragraph" w:styleId="31">
    <w:name w:val="List Bullet 5"/>
    <w:basedOn w:val="24"/>
    <w:qFormat/>
    <w:uiPriority w:val="99"/>
    <w:pPr>
      <w:ind w:left="1702"/>
    </w:pPr>
  </w:style>
  <w:style w:type="paragraph" w:styleId="32">
    <w:name w:val="toc 8"/>
    <w:basedOn w:val="21"/>
    <w:next w:val="1"/>
    <w:qFormat/>
    <w:uiPriority w:val="99"/>
    <w:pPr>
      <w:spacing w:before="180"/>
      <w:ind w:left="2693" w:hanging="2693"/>
    </w:pPr>
    <w:rPr>
      <w:b/>
    </w:rPr>
  </w:style>
  <w:style w:type="paragraph" w:styleId="33">
    <w:name w:val="Balloon Text"/>
    <w:basedOn w:val="1"/>
    <w:link w:val="103"/>
    <w:qFormat/>
    <w:uiPriority w:val="99"/>
    <w:rPr>
      <w:rFonts w:ascii="Tahoma" w:hAnsi="Tahoma" w:cs="Tahoma"/>
      <w:sz w:val="16"/>
      <w:szCs w:val="16"/>
    </w:rPr>
  </w:style>
  <w:style w:type="paragraph" w:styleId="34">
    <w:name w:val="footer"/>
    <w:basedOn w:val="35"/>
    <w:link w:val="130"/>
    <w:qFormat/>
    <w:uiPriority w:val="99"/>
    <w:pPr>
      <w:jc w:val="center"/>
    </w:pPr>
    <w:rPr>
      <w:i/>
    </w:rPr>
  </w:style>
  <w:style w:type="paragraph" w:styleId="35">
    <w:name w:val="header"/>
    <w:link w:val="113"/>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oc 9"/>
    <w:basedOn w:val="32"/>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29"/>
    <w:next w:val="29"/>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4"/>
    <w:link w:val="96"/>
    <w:qFormat/>
    <w:uiPriority w:val="0"/>
  </w:style>
  <w:style w:type="paragraph" w:customStyle="1" w:styleId="82">
    <w:name w:val="B2"/>
    <w:basedOn w:val="13"/>
    <w:link w:val="110"/>
    <w:qFormat/>
    <w:uiPriority w:val="0"/>
  </w:style>
  <w:style w:type="paragraph" w:customStyle="1" w:styleId="83">
    <w:name w:val="B3"/>
    <w:basedOn w:val="12"/>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标题 2 字符"/>
    <w:link w:val="3"/>
    <w:qFormat/>
    <w:uiPriority w:val="0"/>
    <w:rPr>
      <w:rFonts w:ascii="Arial" w:hAnsi="Arial"/>
      <w:sz w:val="32"/>
      <w:lang w:val="en-GB" w:eastAsia="en-US"/>
    </w:rPr>
  </w:style>
  <w:style w:type="character" w:customStyle="1" w:styleId="103">
    <w:name w:val="批注框文本 字符"/>
    <w:link w:val="33"/>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批注文字 字符"/>
    <w:link w:val="29"/>
    <w:qFormat/>
    <w:uiPriority w:val="99"/>
    <w:rPr>
      <w:rFonts w:ascii="Times New Roman" w:hAnsi="Times New Roman"/>
      <w:lang w:val="en-GB" w:eastAsia="en-US"/>
    </w:rPr>
  </w:style>
  <w:style w:type="character" w:customStyle="1" w:styleId="108">
    <w:name w:val="批注主题 字符"/>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页眉 字符"/>
    <w:link w:val="35"/>
    <w:qFormat/>
    <w:uiPriority w:val="0"/>
    <w:rPr>
      <w:rFonts w:ascii="Arial" w:hAnsi="Arial"/>
      <w:b/>
      <w:sz w:val="18"/>
      <w:lang w:val="en-GB" w:eastAsia="en-US"/>
    </w:rPr>
  </w:style>
  <w:style w:type="character" w:customStyle="1" w:styleId="114">
    <w:name w:val="脚注文本 字符"/>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正文文本 字符"/>
    <w:basedOn w:val="47"/>
    <w:link w:val="30"/>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文档结构图 字符"/>
    <w:link w:val="28"/>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页脚 字符"/>
    <w:link w:val="34"/>
    <w:qFormat/>
    <w:uiPriority w:val="99"/>
    <w:rPr>
      <w:rFonts w:ascii="Arial" w:hAnsi="Arial"/>
      <w:b/>
      <w:i/>
      <w:sz w:val="18"/>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HTML 预设格式 字符"/>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标题 1 字符"/>
    <w:link w:val="2"/>
    <w:qFormat/>
    <w:uiPriority w:val="0"/>
    <w:rPr>
      <w:rFonts w:ascii="Arial" w:hAnsi="Arial"/>
      <w:sz w:val="36"/>
      <w:lang w:val="en-GB" w:eastAsia="en-US"/>
    </w:rPr>
  </w:style>
  <w:style w:type="character" w:customStyle="1" w:styleId="136">
    <w:name w:val="标题 3 字符"/>
    <w:link w:val="4"/>
    <w:qFormat/>
    <w:uiPriority w:val="0"/>
    <w:rPr>
      <w:rFonts w:ascii="Arial" w:hAnsi="Arial"/>
      <w:sz w:val="28"/>
      <w:lang w:val="en-GB" w:eastAsia="en-US"/>
    </w:rPr>
  </w:style>
  <w:style w:type="character" w:customStyle="1" w:styleId="137">
    <w:name w:val="标题 4 字符"/>
    <w:link w:val="5"/>
    <w:qFormat/>
    <w:uiPriority w:val="0"/>
    <w:rPr>
      <w:rFonts w:ascii="Arial" w:hAnsi="Arial"/>
      <w:sz w:val="24"/>
      <w:lang w:val="en-GB" w:eastAsia="en-US"/>
    </w:rPr>
  </w:style>
  <w:style w:type="character" w:customStyle="1" w:styleId="138">
    <w:name w:val="标题 5 字符"/>
    <w:link w:val="6"/>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列表段落 字符"/>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标题 6 字符"/>
    <w:link w:val="7"/>
    <w:qFormat/>
    <w:uiPriority w:val="0"/>
    <w:rPr>
      <w:rFonts w:ascii="Arial" w:hAnsi="Arial"/>
      <w:lang w:val="en-GB" w:eastAsia="en-US"/>
    </w:rPr>
  </w:style>
  <w:style w:type="character" w:customStyle="1" w:styleId="149">
    <w:name w:val="标题 7 字符"/>
    <w:link w:val="9"/>
    <w:qFormat/>
    <w:uiPriority w:val="0"/>
    <w:rPr>
      <w:rFonts w:ascii="Arial" w:hAnsi="Arial"/>
      <w:lang w:val="en-GB" w:eastAsia="en-US"/>
    </w:rPr>
  </w:style>
  <w:style w:type="character" w:customStyle="1" w:styleId="150">
    <w:name w:val="标题 8 字符"/>
    <w:link w:val="10"/>
    <w:qFormat/>
    <w:uiPriority w:val="99"/>
    <w:rPr>
      <w:rFonts w:ascii="Arial" w:hAnsi="Arial"/>
      <w:sz w:val="36"/>
      <w:lang w:val="en-GB" w:eastAsia="en-US"/>
    </w:rPr>
  </w:style>
  <w:style w:type="character" w:customStyle="1" w:styleId="151">
    <w:name w:val="标题 9 字符"/>
    <w:link w:val="11"/>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30"/>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30"/>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182">
    <w:name w:val="Doc-text2"/>
    <w:basedOn w:val="1"/>
    <w:qFormat/>
    <w:uiPriority w:val="0"/>
    <w:pPr>
      <w:tabs>
        <w:tab w:val="left" w:pos="1622"/>
      </w:tabs>
      <w:ind w:left="1622" w:hanging="363"/>
    </w:pPr>
  </w:style>
  <w:style w:type="paragraph" w:customStyle="1" w:styleId="183">
    <w:name w:val="Normal"/>
    <w:qFormat/>
    <w:uiPriority w:val="0"/>
    <w:pPr>
      <w:jc w:val="both"/>
    </w:pPr>
    <w:rPr>
      <w:rFonts w:ascii="Calibri" w:hAnsi="Calibri" w:eastAsia="宋体" w:cs="Calibri"/>
      <w:kern w:val="2"/>
      <w:sz w:val="21"/>
      <w:szCs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58D4E8-C894-4E90-AA15-81C5C90068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1171</Words>
  <Characters>6678</Characters>
  <Lines>55</Lines>
  <Paragraphs>15</Paragraphs>
  <TotalTime>0</TotalTime>
  <ScaleCrop>false</ScaleCrop>
  <LinksUpToDate>false</LinksUpToDate>
  <CharactersWithSpaces>7834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2023-02-09T06:53:00Z</dcterms:created>
  <dc:creator>CATT</dc:creator>
  <cp:lastModifiedBy>Wenjia</cp:lastModifiedBy>
  <cp:lastPrinted>1900-12-31T16:00:00Z</cp:lastPrinted>
  <dcterms:modified xsi:type="dcterms:W3CDTF">2023-04-07T04:56:44Z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2052-11.8.2.10912</vt:lpwstr>
  </property>
  <property fmtid="{D5CDD505-2E9C-101B-9397-08002B2CF9AE}" pid="29" name="ICV">
    <vt:lpwstr>166AE23C5399473AA3AA199153123A48</vt:lpwstr>
  </property>
</Properties>
</file>